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262" w:rsidRDefault="00525FEF">
      <w:pPr>
        <w:spacing w:line="276" w:lineRule="auto"/>
        <w:ind w:left="-142" w:right="-154"/>
        <w:jc w:val="center"/>
        <w:rPr>
          <w:rFonts w:asciiTheme="minorHAnsi" w:hAnsiTheme="minorHAnsi" w:cstheme="minorHAnsi"/>
          <w:b/>
          <w:sz w:val="36"/>
          <w:szCs w:val="36"/>
        </w:rPr>
      </w:pPr>
      <w:r>
        <w:rPr>
          <w:rFonts w:asciiTheme="minorHAnsi" w:hAnsiTheme="minorHAnsi" w:cstheme="minorHAnsi"/>
          <w:b/>
          <w:sz w:val="36"/>
          <w:szCs w:val="36"/>
        </w:rPr>
        <w:t xml:space="preserve">Appendix 6 – Exam Access Arrangements Policy </w:t>
      </w:r>
      <w:r>
        <w:rPr>
          <w:rFonts w:asciiTheme="minorHAnsi" w:hAnsiTheme="minorHAnsi" w:cstheme="minorHAnsi"/>
          <w:sz w:val="36"/>
          <w:szCs w:val="36"/>
        </w:rPr>
        <w:t>2021/22</w:t>
      </w:r>
    </w:p>
    <w:p w:rsidR="002F0262" w:rsidRDefault="002F0262">
      <w:pPr>
        <w:pStyle w:val="Headinglevel1"/>
        <w:tabs>
          <w:tab w:val="left" w:pos="8870"/>
        </w:tabs>
        <w:spacing w:before="240" w:line="276" w:lineRule="auto"/>
      </w:pPr>
      <w:bookmarkStart w:id="0" w:name="_Toc490256598"/>
    </w:p>
    <w:bookmarkStart w:id="1" w:name="_Toc22487142" w:displacedByCustomXml="next"/>
    <w:bookmarkStart w:id="2" w:name="_Toc22487023" w:displacedByCustomXml="next"/>
    <w:bookmarkStart w:id="3" w:name="_Toc22304694" w:displacedByCustomXml="next"/>
    <w:sdt>
      <w:sdtPr>
        <w:rPr>
          <w:rFonts w:asciiTheme="minorHAnsi" w:eastAsiaTheme="minorEastAsia" w:hAnsiTheme="minorHAnsi" w:cstheme="minorHAnsi"/>
          <w:b w:val="0"/>
          <w:bCs w:val="0"/>
          <w:color w:val="auto"/>
          <w:sz w:val="22"/>
          <w:szCs w:val="22"/>
          <w:lang w:val="en-GB" w:eastAsia="en-GB"/>
        </w:rPr>
        <w:id w:val="-1093779735"/>
        <w:docPartObj>
          <w:docPartGallery w:val="Table of Contents"/>
          <w:docPartUnique/>
        </w:docPartObj>
      </w:sdtPr>
      <w:sdtEndPr>
        <w:rPr>
          <w:noProof/>
        </w:rPr>
      </w:sdtEndPr>
      <w:sdtContent>
        <w:p w:rsidR="002F0262" w:rsidRDefault="00525FEF">
          <w:pPr>
            <w:pStyle w:val="TOCHeading"/>
            <w:rPr>
              <w:rFonts w:asciiTheme="minorHAnsi" w:hAnsiTheme="minorHAnsi" w:cstheme="minorHAnsi"/>
            </w:rPr>
          </w:pPr>
          <w:r>
            <w:rPr>
              <w:rFonts w:asciiTheme="minorHAnsi" w:hAnsiTheme="minorHAnsi" w:cstheme="minorHAnsi"/>
            </w:rPr>
            <w:t>Contents</w:t>
          </w:r>
        </w:p>
        <w:p w:rsidR="002F0262" w:rsidRDefault="00525FEF">
          <w:pPr>
            <w:pStyle w:val="TOC1"/>
            <w:tabs>
              <w:tab w:val="right" w:leader="dot" w:pos="10042"/>
            </w:tabs>
            <w:rPr>
              <w:rFonts w:asciiTheme="minorHAnsi" w:hAnsiTheme="minorHAnsi" w:cstheme="minorHAnsi"/>
              <w:noProof/>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22487617" w:history="1">
            <w:r>
              <w:rPr>
                <w:rStyle w:val="Hyperlink"/>
                <w:rFonts w:asciiTheme="minorHAnsi" w:hAnsiTheme="minorHAnsi" w:cstheme="minorHAnsi"/>
                <w:noProof/>
              </w:rPr>
              <w:t>Key staff involved in the policy</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_Toc22487617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w:t>
            </w:r>
            <w:r>
              <w:rPr>
                <w:rFonts w:asciiTheme="minorHAnsi" w:hAnsiTheme="minorHAnsi" w:cstheme="minorHAnsi"/>
                <w:noProof/>
                <w:webHidden/>
              </w:rPr>
              <w:fldChar w:fldCharType="end"/>
            </w:r>
          </w:hyperlink>
        </w:p>
        <w:p w:rsidR="002F0262" w:rsidRDefault="00525FEF">
          <w:pPr>
            <w:pStyle w:val="TOC1"/>
            <w:tabs>
              <w:tab w:val="right" w:leader="dot" w:pos="10042"/>
            </w:tabs>
            <w:rPr>
              <w:rFonts w:asciiTheme="minorHAnsi" w:hAnsiTheme="minorHAnsi" w:cstheme="minorHAnsi"/>
              <w:noProof/>
            </w:rPr>
          </w:pPr>
          <w:hyperlink w:anchor="_Toc22487618" w:history="1">
            <w:r>
              <w:rPr>
                <w:rStyle w:val="Hyperlink"/>
                <w:rFonts w:asciiTheme="minorHAnsi" w:hAnsiTheme="minorHAnsi" w:cstheme="minorHAnsi"/>
                <w:noProof/>
              </w:rPr>
              <w:t>What are access arrangements and reasonable adjustments?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_Toc22487618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2F0262" w:rsidRDefault="00525FEF">
          <w:pPr>
            <w:pStyle w:val="TOC2"/>
            <w:tabs>
              <w:tab w:val="right" w:leader="dot" w:pos="10042"/>
            </w:tabs>
            <w:rPr>
              <w:rFonts w:asciiTheme="minorHAnsi" w:hAnsiTheme="minorHAnsi" w:cstheme="minorHAnsi"/>
              <w:noProof/>
            </w:rPr>
          </w:pPr>
          <w:hyperlink w:anchor="_Toc22487619" w:history="1">
            <w:r>
              <w:rPr>
                <w:rStyle w:val="Hyperlink"/>
                <w:rFonts w:asciiTheme="minorHAnsi" w:hAnsiTheme="minorHAnsi" w:cstheme="minorHAnsi"/>
                <w:noProof/>
              </w:rPr>
              <w:t>Access arrangements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_Toc22487619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2F0262" w:rsidRDefault="00525FEF">
          <w:pPr>
            <w:pStyle w:val="TOC2"/>
            <w:tabs>
              <w:tab w:val="right" w:leader="dot" w:pos="10042"/>
            </w:tabs>
            <w:rPr>
              <w:rFonts w:asciiTheme="minorHAnsi" w:hAnsiTheme="minorHAnsi" w:cstheme="minorHAnsi"/>
              <w:noProof/>
            </w:rPr>
          </w:pPr>
          <w:hyperlink w:anchor="_Toc22487620" w:history="1">
            <w:r>
              <w:rPr>
                <w:rStyle w:val="Hyperlink"/>
                <w:rFonts w:asciiTheme="minorHAnsi" w:hAnsiTheme="minorHAnsi" w:cstheme="minorHAnsi"/>
                <w:noProof/>
              </w:rPr>
              <w:t>Reasonable adjustments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_Toc22487620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2F0262" w:rsidRDefault="00525FEF">
          <w:pPr>
            <w:pStyle w:val="TOC1"/>
            <w:tabs>
              <w:tab w:val="right" w:leader="dot" w:pos="10042"/>
            </w:tabs>
            <w:rPr>
              <w:rFonts w:asciiTheme="minorHAnsi" w:hAnsiTheme="minorHAnsi" w:cstheme="minorHAnsi"/>
              <w:noProof/>
            </w:rPr>
          </w:pPr>
          <w:hyperlink w:anchor="_Toc22487621" w:history="1">
            <w:r>
              <w:rPr>
                <w:rStyle w:val="Hyperlink"/>
                <w:rFonts w:asciiTheme="minorHAnsi" w:hAnsiTheme="minorHAnsi" w:cstheme="minorHAnsi"/>
                <w:noProof/>
              </w:rPr>
              <w:t>Purpose of the policy</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_Toc22487621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2F0262" w:rsidRDefault="00525FEF">
          <w:pPr>
            <w:pStyle w:val="TOC1"/>
            <w:tabs>
              <w:tab w:val="right" w:leader="dot" w:pos="10042"/>
            </w:tabs>
            <w:rPr>
              <w:rFonts w:asciiTheme="minorHAnsi" w:hAnsiTheme="minorHAnsi" w:cstheme="minorHAnsi"/>
              <w:noProof/>
            </w:rPr>
          </w:pPr>
          <w:hyperlink w:anchor="_Toc22487622" w:history="1">
            <w:r>
              <w:rPr>
                <w:rStyle w:val="Hyperlink"/>
                <w:rFonts w:asciiTheme="minorHAnsi" w:hAnsiTheme="minorHAnsi" w:cstheme="minorHAnsi"/>
                <w:noProof/>
              </w:rPr>
              <w:t>Disability p</w:t>
            </w:r>
            <w:r>
              <w:rPr>
                <w:rStyle w:val="Hyperlink"/>
                <w:rFonts w:asciiTheme="minorHAnsi" w:hAnsiTheme="minorHAnsi" w:cstheme="minorHAnsi"/>
                <w:noProof/>
              </w:rPr>
              <w:t>olicy (exams)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_Toc22487622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2F0262" w:rsidRDefault="00525FEF">
          <w:pPr>
            <w:pStyle w:val="TOC1"/>
            <w:tabs>
              <w:tab w:val="right" w:leader="dot" w:pos="10042"/>
            </w:tabs>
            <w:rPr>
              <w:rFonts w:asciiTheme="minorHAnsi" w:hAnsiTheme="minorHAnsi" w:cstheme="minorHAnsi"/>
              <w:noProof/>
            </w:rPr>
          </w:pPr>
          <w:hyperlink w:anchor="_Toc22487623" w:history="1">
            <w:r>
              <w:rPr>
                <w:rStyle w:val="Hyperlink"/>
                <w:rFonts w:asciiTheme="minorHAnsi" w:hAnsiTheme="minorHAnsi" w:cstheme="minorHAnsi"/>
                <w:noProof/>
              </w:rPr>
              <w:t>The assessment process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_Toc22487623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rsidR="002F0262" w:rsidRDefault="00525FEF">
          <w:pPr>
            <w:pStyle w:val="TOC2"/>
            <w:tabs>
              <w:tab w:val="right" w:leader="dot" w:pos="10042"/>
            </w:tabs>
            <w:rPr>
              <w:rFonts w:asciiTheme="minorHAnsi" w:hAnsiTheme="minorHAnsi" w:cstheme="minorHAnsi"/>
              <w:noProof/>
            </w:rPr>
          </w:pPr>
          <w:hyperlink w:anchor="_Toc22487624" w:history="1">
            <w:r>
              <w:rPr>
                <w:rStyle w:val="Hyperlink"/>
                <w:rFonts w:asciiTheme="minorHAnsi" w:hAnsiTheme="minorHAnsi" w:cstheme="minorHAnsi"/>
                <w:noProof/>
              </w:rPr>
              <w:t>The qualification(s) of the current assessor(s)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_Toc22487624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rsidR="002F0262" w:rsidRDefault="00525FEF">
          <w:pPr>
            <w:pStyle w:val="TOC2"/>
            <w:tabs>
              <w:tab w:val="right" w:leader="dot" w:pos="10042"/>
            </w:tabs>
            <w:rPr>
              <w:rFonts w:asciiTheme="minorHAnsi" w:hAnsiTheme="minorHAnsi" w:cstheme="minorHAnsi"/>
              <w:noProof/>
            </w:rPr>
          </w:pPr>
          <w:hyperlink w:anchor="_Toc22487625" w:history="1">
            <w:r>
              <w:rPr>
                <w:rStyle w:val="Hyperlink"/>
                <w:rFonts w:asciiTheme="minorHAnsi" w:hAnsiTheme="minorHAnsi" w:cstheme="minorHAnsi"/>
                <w:noProof/>
              </w:rPr>
              <w:t>Appointment of assessors of candidates with learning difficulties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_Toc22487625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rsidR="002F0262" w:rsidRDefault="00525FEF">
          <w:pPr>
            <w:pStyle w:val="TOC2"/>
            <w:tabs>
              <w:tab w:val="right" w:leader="dot" w:pos="10042"/>
            </w:tabs>
            <w:rPr>
              <w:rFonts w:asciiTheme="minorHAnsi" w:hAnsiTheme="minorHAnsi" w:cstheme="minorHAnsi"/>
              <w:noProof/>
            </w:rPr>
          </w:pPr>
          <w:hyperlink w:anchor="_Toc22487626" w:history="1">
            <w:r>
              <w:rPr>
                <w:rStyle w:val="Hyperlink"/>
                <w:rFonts w:asciiTheme="minorHAnsi" w:hAnsiTheme="minorHAnsi" w:cstheme="minorHAnsi"/>
                <w:noProof/>
              </w:rPr>
              <w:t>Process for the assessment of a candidate’s learning difficulties by an assessor</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_Toc22487626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rsidR="002F0262" w:rsidRDefault="00525FEF">
          <w:pPr>
            <w:pStyle w:val="TOC2"/>
            <w:tabs>
              <w:tab w:val="right" w:leader="dot" w:pos="10042"/>
            </w:tabs>
            <w:rPr>
              <w:rFonts w:asciiTheme="minorHAnsi" w:hAnsiTheme="minorHAnsi" w:cstheme="minorHAnsi"/>
              <w:noProof/>
            </w:rPr>
          </w:pPr>
          <w:hyperlink w:anchor="_Toc22487627" w:history="1">
            <w:r>
              <w:rPr>
                <w:rStyle w:val="Hyperlink"/>
                <w:rFonts w:asciiTheme="minorHAnsi" w:hAnsiTheme="minorHAnsi" w:cstheme="minorHAnsi"/>
                <w:noProof/>
              </w:rPr>
              <w:t xml:space="preserve">Painting a </w:t>
            </w:r>
            <w:r>
              <w:rPr>
                <w:rStyle w:val="Hyperlink"/>
                <w:rFonts w:asciiTheme="minorHAnsi" w:hAnsiTheme="minorHAnsi" w:cstheme="minorHAnsi"/>
                <w:i/>
                <w:noProof/>
              </w:rPr>
              <w:t>picture</w:t>
            </w:r>
            <w:r>
              <w:rPr>
                <w:rStyle w:val="Hyperlink"/>
                <w:rFonts w:asciiTheme="minorHAnsi" w:hAnsiTheme="minorHAnsi" w:cstheme="minorHAnsi"/>
                <w:i/>
                <w:noProof/>
              </w:rPr>
              <w:t xml:space="preserve"> of need</w:t>
            </w:r>
            <w:r>
              <w:rPr>
                <w:rStyle w:val="Hyperlink"/>
                <w:rFonts w:asciiTheme="minorHAnsi" w:hAnsiTheme="minorHAnsi" w:cstheme="minorHAnsi"/>
                <w:noProof/>
              </w:rPr>
              <w:t xml:space="preserve"> and gathering evidence to demonstrate </w:t>
            </w:r>
            <w:r>
              <w:rPr>
                <w:rStyle w:val="Hyperlink"/>
                <w:rFonts w:asciiTheme="minorHAnsi" w:hAnsiTheme="minorHAnsi" w:cstheme="minorHAnsi"/>
                <w:i/>
                <w:noProof/>
              </w:rPr>
              <w:t>normal way of working</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_Toc22487627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2F0262" w:rsidRDefault="00525FEF">
          <w:pPr>
            <w:pStyle w:val="TOC1"/>
            <w:tabs>
              <w:tab w:val="right" w:leader="dot" w:pos="10042"/>
            </w:tabs>
            <w:rPr>
              <w:rFonts w:asciiTheme="minorHAnsi" w:hAnsiTheme="minorHAnsi" w:cstheme="minorHAnsi"/>
              <w:noProof/>
            </w:rPr>
          </w:pPr>
          <w:hyperlink w:anchor="_Toc22487628" w:history="1">
            <w:r>
              <w:rPr>
                <w:rStyle w:val="Hyperlink"/>
                <w:rFonts w:asciiTheme="minorHAnsi" w:hAnsiTheme="minorHAnsi" w:cstheme="minorHAnsi"/>
                <w:noProof/>
              </w:rPr>
              <w:t>Processing access arrangements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_Toc22487628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2F0262" w:rsidRDefault="00525FEF">
          <w:pPr>
            <w:pStyle w:val="TOC2"/>
            <w:tabs>
              <w:tab w:val="right" w:leader="dot" w:pos="10042"/>
            </w:tabs>
            <w:rPr>
              <w:rFonts w:asciiTheme="minorHAnsi" w:hAnsiTheme="minorHAnsi" w:cstheme="minorHAnsi"/>
              <w:noProof/>
            </w:rPr>
          </w:pPr>
          <w:hyperlink w:anchor="_Toc22487629" w:history="1">
            <w:r>
              <w:rPr>
                <w:rStyle w:val="Hyperlink"/>
                <w:rFonts w:asciiTheme="minorHAnsi" w:hAnsiTheme="minorHAnsi" w:cstheme="minorHAnsi"/>
                <w:noProof/>
              </w:rPr>
              <w:t>Arrangements requiring awarding body approval</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_Toc22487629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2F0262" w:rsidRDefault="00525FEF">
          <w:pPr>
            <w:pStyle w:val="TOC2"/>
            <w:tabs>
              <w:tab w:val="right" w:leader="dot" w:pos="10042"/>
            </w:tabs>
            <w:rPr>
              <w:rFonts w:asciiTheme="minorHAnsi" w:hAnsiTheme="minorHAnsi" w:cstheme="minorHAnsi"/>
              <w:noProof/>
            </w:rPr>
          </w:pPr>
          <w:hyperlink w:anchor="_Toc22487630" w:history="1">
            <w:r>
              <w:rPr>
                <w:rStyle w:val="Hyperlink"/>
                <w:rFonts w:asciiTheme="minorHAnsi" w:hAnsiTheme="minorHAnsi" w:cstheme="minorHAnsi"/>
                <w:noProof/>
              </w:rPr>
              <w:t>Centre-delegated access arrangements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_Toc22487630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2F0262" w:rsidRDefault="00525FEF">
          <w:pPr>
            <w:pStyle w:val="TOC1"/>
            <w:tabs>
              <w:tab w:val="right" w:leader="dot" w:pos="10042"/>
            </w:tabs>
            <w:rPr>
              <w:rFonts w:asciiTheme="minorHAnsi" w:hAnsiTheme="minorHAnsi" w:cstheme="minorHAnsi"/>
              <w:noProof/>
            </w:rPr>
          </w:pPr>
          <w:hyperlink w:anchor="_Toc22487631" w:history="1">
            <w:r>
              <w:rPr>
                <w:rStyle w:val="Hyperlink"/>
                <w:rFonts w:asciiTheme="minorHAnsi" w:hAnsiTheme="minorHAnsi" w:cstheme="minorHAnsi"/>
                <w:noProof/>
              </w:rPr>
              <w:t>Centre-specific criteria for particular access arrangements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_Toc22487631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2F0262" w:rsidRDefault="00525FEF">
          <w:pPr>
            <w:pStyle w:val="TOC2"/>
            <w:tabs>
              <w:tab w:val="right" w:leader="dot" w:pos="10042"/>
            </w:tabs>
            <w:rPr>
              <w:rFonts w:asciiTheme="minorHAnsi" w:hAnsiTheme="minorHAnsi" w:cstheme="minorHAnsi"/>
              <w:noProof/>
            </w:rPr>
          </w:pPr>
          <w:hyperlink w:anchor="_Toc22487632" w:history="1">
            <w:r>
              <w:rPr>
                <w:rStyle w:val="Hyperlink"/>
                <w:rFonts w:asciiTheme="minorHAnsi" w:hAnsiTheme="minorHAnsi" w:cstheme="minorHAnsi"/>
                <w:noProof/>
              </w:rPr>
              <w:t>Word processor policy (exams)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_Toc22487632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2F0262" w:rsidRDefault="00525FEF">
          <w:pPr>
            <w:pStyle w:val="TOC2"/>
            <w:tabs>
              <w:tab w:val="right" w:leader="dot" w:pos="10042"/>
            </w:tabs>
            <w:rPr>
              <w:rFonts w:asciiTheme="minorHAnsi" w:hAnsiTheme="minorHAnsi" w:cstheme="minorHAnsi"/>
              <w:noProof/>
            </w:rPr>
          </w:pPr>
          <w:hyperlink w:anchor="_Toc22487633" w:history="1">
            <w:r>
              <w:rPr>
                <w:rStyle w:val="Hyperlink"/>
                <w:rFonts w:asciiTheme="minorHAnsi" w:hAnsiTheme="minorHAnsi" w:cstheme="minorHAnsi"/>
                <w:noProof/>
              </w:rPr>
              <w:t>Separate invigilation within the centre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_Toc22487633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r>
            <w:rPr>
              <w:rFonts w:asciiTheme="minorHAnsi" w:hAnsiTheme="minorHAnsi" w:cstheme="minorHAnsi"/>
              <w:b/>
              <w:bCs/>
              <w:noProof/>
            </w:rPr>
            <w:fldChar w:fldCharType="end"/>
          </w:r>
        </w:p>
      </w:sdtContent>
    </w:sdt>
    <w:p w:rsidR="002F0262" w:rsidRDefault="002F0262">
      <w:pPr>
        <w:spacing w:before="0" w:after="200" w:line="276" w:lineRule="auto"/>
        <w:rPr>
          <w:rFonts w:asciiTheme="minorHAnsi" w:hAnsiTheme="minorHAnsi" w:cstheme="minorHAnsi"/>
          <w:szCs w:val="24"/>
        </w:rPr>
      </w:pPr>
    </w:p>
    <w:p w:rsidR="002F0262" w:rsidRDefault="00525FEF">
      <w:pPr>
        <w:pStyle w:val="Headinglevel1"/>
        <w:spacing w:before="240" w:line="276" w:lineRule="auto"/>
        <w:rPr>
          <w:rFonts w:asciiTheme="minorHAnsi" w:hAnsiTheme="minorHAnsi" w:cstheme="minorHAnsi"/>
          <w:szCs w:val="24"/>
        </w:rPr>
      </w:pPr>
      <w:bookmarkStart w:id="4" w:name="_Toc22487617"/>
      <w:r>
        <w:rPr>
          <w:rFonts w:asciiTheme="minorHAnsi" w:hAnsiTheme="minorHAnsi" w:cstheme="minorHAnsi"/>
          <w:szCs w:val="24"/>
        </w:rPr>
        <w:t>Key staff involved in the policy</w:t>
      </w:r>
      <w:bookmarkEnd w:id="4"/>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8"/>
        <w:gridCol w:w="1984"/>
      </w:tblGrid>
      <w:tr w:rsidR="002F0262">
        <w:tc>
          <w:tcPr>
            <w:tcW w:w="3818" w:type="dxa"/>
            <w:shd w:val="clear" w:color="auto" w:fill="FDE9D9" w:themeFill="accent6" w:themeFillTint="33"/>
          </w:tcPr>
          <w:p w:rsidR="002F0262" w:rsidRDefault="00525FEF">
            <w:pPr>
              <w:jc w:val="both"/>
              <w:rPr>
                <w:rFonts w:asciiTheme="minorHAnsi" w:hAnsiTheme="minorHAnsi" w:cstheme="minorHAnsi"/>
                <w:b/>
              </w:rPr>
            </w:pPr>
            <w:bookmarkStart w:id="5" w:name="_Hlk20227038"/>
            <w:r>
              <w:rPr>
                <w:rFonts w:asciiTheme="minorHAnsi" w:hAnsiTheme="minorHAnsi" w:cstheme="minorHAnsi"/>
                <w:b/>
              </w:rPr>
              <w:t>Role</w:t>
            </w:r>
          </w:p>
        </w:tc>
        <w:tc>
          <w:tcPr>
            <w:tcW w:w="1984" w:type="dxa"/>
            <w:shd w:val="clear" w:color="auto" w:fill="FDE9D9" w:themeFill="accent6" w:themeFillTint="33"/>
          </w:tcPr>
          <w:p w:rsidR="002F0262" w:rsidRDefault="00525FEF">
            <w:pPr>
              <w:jc w:val="both"/>
              <w:rPr>
                <w:rFonts w:asciiTheme="minorHAnsi" w:hAnsiTheme="minorHAnsi" w:cstheme="minorHAnsi"/>
                <w:b/>
              </w:rPr>
            </w:pPr>
            <w:r>
              <w:rPr>
                <w:rFonts w:asciiTheme="minorHAnsi" w:hAnsiTheme="minorHAnsi" w:cstheme="minorHAnsi"/>
                <w:b/>
              </w:rPr>
              <w:t>Name(s)</w:t>
            </w:r>
          </w:p>
        </w:tc>
      </w:tr>
      <w:tr w:rsidR="002F0262">
        <w:tc>
          <w:tcPr>
            <w:tcW w:w="3818" w:type="dxa"/>
          </w:tcPr>
          <w:p w:rsidR="002F0262" w:rsidRDefault="00525FEF">
            <w:pPr>
              <w:jc w:val="both"/>
              <w:rPr>
                <w:rFonts w:asciiTheme="minorHAnsi" w:hAnsiTheme="minorHAnsi" w:cstheme="minorHAnsi"/>
              </w:rPr>
            </w:pPr>
            <w:proofErr w:type="spellStart"/>
            <w:r>
              <w:rPr>
                <w:rFonts w:asciiTheme="minorHAnsi" w:hAnsiTheme="minorHAnsi" w:cstheme="minorHAnsi"/>
              </w:rPr>
              <w:t>SENDCo</w:t>
            </w:r>
            <w:proofErr w:type="spellEnd"/>
          </w:p>
        </w:tc>
        <w:tc>
          <w:tcPr>
            <w:tcW w:w="1984" w:type="dxa"/>
          </w:tcPr>
          <w:p w:rsidR="002F0262" w:rsidRDefault="00525FEF">
            <w:pPr>
              <w:jc w:val="both"/>
              <w:rPr>
                <w:rFonts w:asciiTheme="minorHAnsi" w:hAnsiTheme="minorHAnsi" w:cstheme="minorHAnsi"/>
              </w:rPr>
            </w:pPr>
            <w:r>
              <w:rPr>
                <w:rFonts w:asciiTheme="minorHAnsi" w:hAnsiTheme="minorHAnsi" w:cstheme="minorHAnsi"/>
              </w:rPr>
              <w:t>S Lord</w:t>
            </w:r>
          </w:p>
        </w:tc>
      </w:tr>
      <w:tr w:rsidR="002F0262">
        <w:tc>
          <w:tcPr>
            <w:tcW w:w="3818" w:type="dxa"/>
          </w:tcPr>
          <w:p w:rsidR="002F0262" w:rsidRDefault="00525FEF">
            <w:pPr>
              <w:jc w:val="both"/>
              <w:rPr>
                <w:rFonts w:asciiTheme="minorHAnsi" w:hAnsiTheme="minorHAnsi" w:cstheme="minorHAnsi"/>
              </w:rPr>
            </w:pPr>
            <w:proofErr w:type="spellStart"/>
            <w:r>
              <w:rPr>
                <w:rFonts w:asciiTheme="minorHAnsi" w:hAnsiTheme="minorHAnsi" w:cstheme="minorHAnsi"/>
              </w:rPr>
              <w:t>SENDCo</w:t>
            </w:r>
            <w:proofErr w:type="spellEnd"/>
            <w:r>
              <w:rPr>
                <w:rFonts w:asciiTheme="minorHAnsi" w:hAnsiTheme="minorHAnsi" w:cstheme="minorHAnsi"/>
              </w:rPr>
              <w:t xml:space="preserve"> Line Manager (Senior Leader)</w:t>
            </w:r>
          </w:p>
        </w:tc>
        <w:tc>
          <w:tcPr>
            <w:tcW w:w="1984" w:type="dxa"/>
          </w:tcPr>
          <w:p w:rsidR="002F0262" w:rsidRDefault="002F0262">
            <w:pPr>
              <w:jc w:val="both"/>
              <w:rPr>
                <w:rFonts w:asciiTheme="minorHAnsi" w:hAnsiTheme="minorHAnsi" w:cstheme="minorHAnsi"/>
              </w:rPr>
            </w:pPr>
          </w:p>
        </w:tc>
      </w:tr>
      <w:tr w:rsidR="002F0262">
        <w:tc>
          <w:tcPr>
            <w:tcW w:w="3818" w:type="dxa"/>
          </w:tcPr>
          <w:p w:rsidR="002F0262" w:rsidRDefault="00525FEF">
            <w:pPr>
              <w:jc w:val="both"/>
              <w:rPr>
                <w:rFonts w:asciiTheme="minorHAnsi" w:hAnsiTheme="minorHAnsi" w:cstheme="minorHAnsi"/>
              </w:rPr>
            </w:pPr>
            <w:r>
              <w:rPr>
                <w:rFonts w:asciiTheme="minorHAnsi" w:hAnsiTheme="minorHAnsi" w:cstheme="minorHAnsi"/>
              </w:rPr>
              <w:t>Head of Centre</w:t>
            </w:r>
          </w:p>
        </w:tc>
        <w:tc>
          <w:tcPr>
            <w:tcW w:w="1984" w:type="dxa"/>
          </w:tcPr>
          <w:p w:rsidR="002F0262" w:rsidRDefault="00525FEF">
            <w:pPr>
              <w:jc w:val="both"/>
              <w:rPr>
                <w:rFonts w:asciiTheme="minorHAnsi" w:hAnsiTheme="minorHAnsi" w:cstheme="minorHAnsi"/>
              </w:rPr>
            </w:pPr>
            <w:r>
              <w:rPr>
                <w:rFonts w:asciiTheme="minorHAnsi" w:hAnsiTheme="minorHAnsi" w:cstheme="minorHAnsi"/>
              </w:rPr>
              <w:t>A Bridson</w:t>
            </w:r>
          </w:p>
        </w:tc>
      </w:tr>
      <w:tr w:rsidR="002F0262">
        <w:tc>
          <w:tcPr>
            <w:tcW w:w="3818" w:type="dxa"/>
          </w:tcPr>
          <w:p w:rsidR="002F0262" w:rsidRDefault="00525FEF">
            <w:pPr>
              <w:jc w:val="both"/>
              <w:rPr>
                <w:rFonts w:asciiTheme="minorHAnsi" w:hAnsiTheme="minorHAnsi" w:cstheme="minorHAnsi"/>
              </w:rPr>
            </w:pPr>
            <w:r>
              <w:rPr>
                <w:rFonts w:asciiTheme="minorHAnsi" w:hAnsiTheme="minorHAnsi" w:cstheme="minorHAnsi"/>
              </w:rPr>
              <w:t>Assessor(s)</w:t>
            </w:r>
          </w:p>
        </w:tc>
        <w:tc>
          <w:tcPr>
            <w:tcW w:w="1984" w:type="dxa"/>
          </w:tcPr>
          <w:p w:rsidR="002F0262" w:rsidRDefault="002F0262">
            <w:pPr>
              <w:jc w:val="both"/>
              <w:rPr>
                <w:rFonts w:asciiTheme="minorHAnsi" w:hAnsiTheme="minorHAnsi" w:cstheme="minorHAnsi"/>
              </w:rPr>
            </w:pPr>
          </w:p>
        </w:tc>
      </w:tr>
      <w:tr w:rsidR="002F0262">
        <w:tc>
          <w:tcPr>
            <w:tcW w:w="3818" w:type="dxa"/>
          </w:tcPr>
          <w:p w:rsidR="002F0262" w:rsidRDefault="00525FEF">
            <w:pPr>
              <w:jc w:val="both"/>
              <w:rPr>
                <w:rFonts w:asciiTheme="minorHAnsi" w:hAnsiTheme="minorHAnsi" w:cstheme="minorHAnsi"/>
              </w:rPr>
            </w:pPr>
            <w:r>
              <w:rPr>
                <w:rFonts w:asciiTheme="minorHAnsi" w:hAnsiTheme="minorHAnsi" w:cstheme="minorHAnsi"/>
              </w:rPr>
              <w:t xml:space="preserve">Access Arrangement Facilitator(s) </w:t>
            </w:r>
          </w:p>
        </w:tc>
        <w:tc>
          <w:tcPr>
            <w:tcW w:w="1984" w:type="dxa"/>
          </w:tcPr>
          <w:p w:rsidR="002F0262" w:rsidRDefault="002F0262">
            <w:pPr>
              <w:jc w:val="both"/>
              <w:rPr>
                <w:rFonts w:asciiTheme="minorHAnsi" w:hAnsiTheme="minorHAnsi" w:cstheme="minorHAnsi"/>
              </w:rPr>
            </w:pPr>
          </w:p>
        </w:tc>
      </w:tr>
    </w:tbl>
    <w:p w:rsidR="002F0262" w:rsidRDefault="00525FEF">
      <w:pPr>
        <w:spacing w:before="0" w:after="200" w:line="276" w:lineRule="auto"/>
        <w:rPr>
          <w:rFonts w:asciiTheme="minorHAnsi" w:eastAsia="Times New Roman" w:hAnsiTheme="minorHAnsi" w:cstheme="minorHAnsi"/>
          <w:b/>
          <w:color w:val="003399"/>
          <w:sz w:val="24"/>
          <w:szCs w:val="24"/>
        </w:rPr>
      </w:pPr>
      <w:bookmarkStart w:id="6" w:name="_GoBack"/>
      <w:bookmarkEnd w:id="5"/>
      <w:r>
        <w:rPr>
          <w:rFonts w:asciiTheme="minorHAnsi" w:hAnsiTheme="minorHAnsi" w:cstheme="minorHAnsi"/>
          <w:szCs w:val="24"/>
        </w:rPr>
        <w:br w:type="page"/>
      </w:r>
    </w:p>
    <w:p w:rsidR="002F0262" w:rsidRDefault="00525FEF">
      <w:pPr>
        <w:pStyle w:val="Headinglevel1"/>
        <w:spacing w:before="240" w:after="120" w:line="276" w:lineRule="auto"/>
        <w:rPr>
          <w:rFonts w:asciiTheme="minorHAnsi" w:hAnsiTheme="minorHAnsi" w:cstheme="minorHAnsi"/>
        </w:rPr>
      </w:pPr>
      <w:bookmarkStart w:id="7" w:name="_Toc523473880"/>
      <w:bookmarkStart w:id="8" w:name="_Toc22304696"/>
      <w:bookmarkStart w:id="9" w:name="_Toc22487024"/>
      <w:bookmarkStart w:id="10" w:name="_Toc22487143"/>
      <w:bookmarkStart w:id="11" w:name="_Toc22487618"/>
      <w:bookmarkEnd w:id="0"/>
      <w:bookmarkEnd w:id="3"/>
      <w:bookmarkEnd w:id="2"/>
      <w:bookmarkEnd w:id="1"/>
      <w:bookmarkEnd w:id="6"/>
      <w:r>
        <w:rPr>
          <w:rFonts w:asciiTheme="minorHAnsi" w:hAnsiTheme="minorHAnsi" w:cstheme="minorHAnsi"/>
        </w:rPr>
        <w:lastRenderedPageBreak/>
        <w:t xml:space="preserve">What </w:t>
      </w:r>
      <w:r>
        <w:rPr>
          <w:rFonts w:asciiTheme="minorHAnsi" w:hAnsiTheme="minorHAnsi" w:cstheme="minorHAnsi"/>
        </w:rPr>
        <w:t>are access arrangements and reasonable adjustments?</w:t>
      </w:r>
      <w:bookmarkEnd w:id="7"/>
      <w:bookmarkEnd w:id="8"/>
      <w:bookmarkEnd w:id="9"/>
      <w:bookmarkEnd w:id="10"/>
      <w:bookmarkEnd w:id="11"/>
    </w:p>
    <w:p w:rsidR="002F0262" w:rsidRDefault="00525FEF">
      <w:pPr>
        <w:pStyle w:val="Headinglevel2"/>
        <w:spacing w:before="120" w:after="120"/>
        <w:rPr>
          <w:rFonts w:asciiTheme="minorHAnsi" w:hAnsiTheme="minorHAnsi" w:cstheme="minorHAnsi"/>
          <w:color w:val="auto"/>
        </w:rPr>
      </w:pPr>
      <w:bookmarkStart w:id="12" w:name="_Toc523473881"/>
      <w:bookmarkStart w:id="13" w:name="_Toc22304697"/>
      <w:bookmarkStart w:id="14" w:name="_Toc22487025"/>
      <w:bookmarkStart w:id="15" w:name="_Toc22487144"/>
      <w:bookmarkStart w:id="16" w:name="_Toc22487619"/>
      <w:r>
        <w:rPr>
          <w:rFonts w:asciiTheme="minorHAnsi" w:hAnsiTheme="minorHAnsi" w:cstheme="minorHAnsi"/>
          <w:color w:val="auto"/>
        </w:rPr>
        <w:t>Access arrangements</w:t>
      </w:r>
      <w:bookmarkEnd w:id="12"/>
      <w:bookmarkEnd w:id="13"/>
      <w:bookmarkEnd w:id="14"/>
      <w:bookmarkEnd w:id="15"/>
      <w:bookmarkEnd w:id="16"/>
    </w:p>
    <w:p w:rsidR="002F0262" w:rsidRDefault="00525FEF">
      <w:pPr>
        <w:pStyle w:val="NormalWeb"/>
        <w:pBdr>
          <w:left w:val="single" w:sz="8" w:space="4" w:color="FFC000"/>
        </w:pBdr>
        <w:shd w:val="clear" w:color="auto" w:fill="F2F2F2" w:themeFill="background1" w:themeFillShade="F2"/>
        <w:spacing w:before="0" w:beforeAutospacing="0" w:after="0" w:afterAutospacing="0"/>
        <w:ind w:left="720"/>
        <w:jc w:val="both"/>
        <w:rPr>
          <w:rFonts w:asciiTheme="minorHAnsi" w:hAnsiTheme="minorHAnsi" w:cstheme="minorHAnsi"/>
          <w:iCs/>
          <w:color w:val="595959" w:themeColor="text1" w:themeTint="A6"/>
          <w:sz w:val="20"/>
          <w:szCs w:val="20"/>
        </w:rPr>
      </w:pPr>
      <w:r>
        <w:rPr>
          <w:rFonts w:asciiTheme="minorHAnsi" w:hAnsiTheme="minorHAnsi" w:cstheme="minorHAnsi"/>
          <w:iCs/>
          <w:color w:val="595959" w:themeColor="text1" w:themeTint="A6"/>
          <w:sz w:val="20"/>
          <w:szCs w:val="20"/>
        </w:rPr>
        <w:t>Access arrangements are agreed before an assessment. They allow candidates with specific needs, such as special educational needs, disabilities or temporary injuries to access the assessment and show what they know and can do without changing the demands o</w:t>
      </w:r>
      <w:r>
        <w:rPr>
          <w:rFonts w:asciiTheme="minorHAnsi" w:hAnsiTheme="minorHAnsi" w:cstheme="minorHAnsi"/>
          <w:iCs/>
          <w:color w:val="595959" w:themeColor="text1" w:themeTint="A6"/>
          <w:sz w:val="20"/>
          <w:szCs w:val="20"/>
        </w:rPr>
        <w:t>f the assessment. The intention behind an access arrangement is to meet the particular needs of an individual candidate without affecting the integrity of the assessment. Access arrangements are the principal way in which awarding bodies comply with the du</w:t>
      </w:r>
      <w:r>
        <w:rPr>
          <w:rFonts w:asciiTheme="minorHAnsi" w:hAnsiTheme="minorHAnsi" w:cstheme="minorHAnsi"/>
          <w:iCs/>
          <w:color w:val="595959" w:themeColor="text1" w:themeTint="A6"/>
          <w:sz w:val="20"/>
          <w:szCs w:val="20"/>
        </w:rPr>
        <w:t xml:space="preserve">ty under the Equality Act 2010* to make ‘reasonable adjustments’.  </w:t>
      </w:r>
      <w:r>
        <w:rPr>
          <w:rFonts w:asciiTheme="minorHAnsi" w:hAnsiTheme="minorHAnsi" w:cstheme="minorHAnsi"/>
          <w:color w:val="595959" w:themeColor="text1" w:themeTint="A6"/>
          <w:sz w:val="20"/>
          <w:szCs w:val="20"/>
        </w:rPr>
        <w:t>[</w:t>
      </w:r>
      <w:hyperlink r:id="rId9" w:history="1">
        <w:r>
          <w:rPr>
            <w:rStyle w:val="Hyperlink"/>
            <w:rFonts w:asciiTheme="minorHAnsi" w:hAnsiTheme="minorHAnsi" w:cstheme="minorHAnsi"/>
            <w:sz w:val="20"/>
            <w:szCs w:val="20"/>
          </w:rPr>
          <w:t>AA</w:t>
        </w:r>
      </w:hyperlink>
      <w:r>
        <w:rPr>
          <w:rFonts w:asciiTheme="minorHAnsi" w:hAnsiTheme="minorHAnsi" w:cstheme="minorHAnsi"/>
          <w:sz w:val="20"/>
          <w:szCs w:val="20"/>
        </w:rPr>
        <w:t xml:space="preserve"> </w:t>
      </w:r>
      <w:r>
        <w:rPr>
          <w:rFonts w:asciiTheme="minorHAnsi" w:hAnsiTheme="minorHAnsi" w:cstheme="minorHAnsi"/>
          <w:color w:val="595959" w:themeColor="text1" w:themeTint="A6"/>
          <w:sz w:val="20"/>
          <w:szCs w:val="20"/>
        </w:rPr>
        <w:t>Definitions, page 3]</w:t>
      </w:r>
    </w:p>
    <w:p w:rsidR="002F0262" w:rsidRDefault="00525FEF">
      <w:pPr>
        <w:pStyle w:val="Headinglevel2"/>
        <w:spacing w:before="240" w:after="120"/>
        <w:rPr>
          <w:rFonts w:asciiTheme="minorHAnsi" w:hAnsiTheme="minorHAnsi" w:cstheme="minorHAnsi"/>
          <w:color w:val="auto"/>
        </w:rPr>
      </w:pPr>
      <w:bookmarkStart w:id="17" w:name="_Toc523473882"/>
      <w:bookmarkStart w:id="18" w:name="_Toc22304698"/>
      <w:bookmarkStart w:id="19" w:name="_Toc22487026"/>
      <w:bookmarkStart w:id="20" w:name="_Toc22487145"/>
      <w:bookmarkStart w:id="21" w:name="_Toc22487620"/>
      <w:r>
        <w:rPr>
          <w:rFonts w:asciiTheme="minorHAnsi" w:hAnsiTheme="minorHAnsi" w:cstheme="minorHAnsi"/>
          <w:color w:val="auto"/>
        </w:rPr>
        <w:t>Reasonable adjustments</w:t>
      </w:r>
      <w:bookmarkEnd w:id="17"/>
      <w:bookmarkEnd w:id="18"/>
      <w:bookmarkEnd w:id="19"/>
      <w:bookmarkEnd w:id="20"/>
      <w:bookmarkEnd w:id="21"/>
    </w:p>
    <w:p w:rsidR="002F0262" w:rsidRDefault="00525FEF">
      <w:pPr>
        <w:pStyle w:val="NormalWeb"/>
        <w:pBdr>
          <w:left w:val="single" w:sz="8" w:space="4" w:color="FFC000"/>
        </w:pBdr>
        <w:shd w:val="clear" w:color="auto" w:fill="F2F2F2" w:themeFill="background1" w:themeFillShade="F2"/>
        <w:spacing w:before="0" w:beforeAutospacing="0" w:after="0" w:afterAutospacing="0"/>
        <w:ind w:left="720"/>
        <w:jc w:val="both"/>
        <w:rPr>
          <w:rFonts w:asciiTheme="minorHAnsi" w:hAnsiTheme="minorHAnsi" w:cstheme="minorHAnsi"/>
          <w:iCs/>
          <w:color w:val="595959" w:themeColor="text1" w:themeTint="A6"/>
          <w:sz w:val="20"/>
          <w:szCs w:val="20"/>
        </w:rPr>
      </w:pPr>
      <w:r>
        <w:rPr>
          <w:rFonts w:asciiTheme="minorHAnsi" w:hAnsiTheme="minorHAnsi" w:cstheme="minorHAnsi"/>
          <w:iCs/>
          <w:color w:val="595959" w:themeColor="text1" w:themeTint="A6"/>
          <w:sz w:val="20"/>
          <w:szCs w:val="20"/>
        </w:rPr>
        <w:t>The Equality Act 20</w:t>
      </w:r>
      <w:r>
        <w:rPr>
          <w:rFonts w:asciiTheme="minorHAnsi" w:hAnsiTheme="minorHAnsi" w:cstheme="minorHAnsi"/>
          <w:iCs/>
          <w:color w:val="595959" w:themeColor="text1" w:themeTint="A6"/>
          <w:sz w:val="20"/>
          <w:szCs w:val="20"/>
        </w:rPr>
        <w:t xml:space="preserve">10* requires an awarding body to make reasonable adjustments where a candidate, who is disabled within the meaning of the Equality Act 2010, would be at a substantial disadvantage in comparison to someone who is not disabled. The awarding body is required </w:t>
      </w:r>
      <w:r>
        <w:rPr>
          <w:rFonts w:asciiTheme="minorHAnsi" w:hAnsiTheme="minorHAnsi" w:cstheme="minorHAnsi"/>
          <w:iCs/>
          <w:color w:val="595959" w:themeColor="text1" w:themeTint="A6"/>
          <w:sz w:val="20"/>
          <w:szCs w:val="20"/>
        </w:rPr>
        <w:t xml:space="preserve">to take reasonable steps to overcome that disadvantage. An example would be a Braille paper which would be a reasonable adjustment for a vision impaired candidate who could read Braille. A reasonable adjustment may be unique to that individual and may not </w:t>
      </w:r>
      <w:r>
        <w:rPr>
          <w:rFonts w:asciiTheme="minorHAnsi" w:hAnsiTheme="minorHAnsi" w:cstheme="minorHAnsi"/>
          <w:iCs/>
          <w:color w:val="595959" w:themeColor="text1" w:themeTint="A6"/>
          <w:sz w:val="20"/>
          <w:szCs w:val="20"/>
        </w:rPr>
        <w:t xml:space="preserve">be included in the list of available access arrangements. Whether an adjustment will be considered reasonable will depend on a number of factors which will include, but are not limited to: </w:t>
      </w:r>
    </w:p>
    <w:p w:rsidR="002F0262" w:rsidRDefault="00525FEF">
      <w:pPr>
        <w:pStyle w:val="NormalWeb"/>
        <w:pBdr>
          <w:left w:val="single" w:sz="8" w:space="4" w:color="FFC000"/>
        </w:pBdr>
        <w:shd w:val="clear" w:color="auto" w:fill="F2F2F2" w:themeFill="background1" w:themeFillShade="F2"/>
        <w:spacing w:before="0" w:beforeAutospacing="0" w:after="0" w:afterAutospacing="0"/>
        <w:ind w:left="720"/>
        <w:jc w:val="both"/>
        <w:rPr>
          <w:rFonts w:asciiTheme="minorHAnsi" w:hAnsiTheme="minorHAnsi" w:cstheme="minorHAnsi"/>
          <w:iCs/>
          <w:color w:val="595959" w:themeColor="text1" w:themeTint="A6"/>
          <w:sz w:val="20"/>
          <w:szCs w:val="20"/>
        </w:rPr>
      </w:pPr>
      <w:r>
        <w:rPr>
          <w:rFonts w:asciiTheme="minorHAnsi" w:hAnsiTheme="minorHAnsi" w:cstheme="minorHAnsi"/>
          <w:iCs/>
          <w:color w:val="595959" w:themeColor="text1" w:themeTint="A6"/>
          <w:sz w:val="20"/>
          <w:szCs w:val="20"/>
        </w:rPr>
        <w:t xml:space="preserve">  • the needs of the disabled candidate; </w:t>
      </w:r>
    </w:p>
    <w:p w:rsidR="002F0262" w:rsidRDefault="00525FEF">
      <w:pPr>
        <w:pStyle w:val="NormalWeb"/>
        <w:pBdr>
          <w:left w:val="single" w:sz="8" w:space="4" w:color="FFC000"/>
        </w:pBdr>
        <w:shd w:val="clear" w:color="auto" w:fill="F2F2F2" w:themeFill="background1" w:themeFillShade="F2"/>
        <w:spacing w:before="0" w:beforeAutospacing="0" w:after="0" w:afterAutospacing="0"/>
        <w:ind w:left="720"/>
        <w:jc w:val="both"/>
        <w:rPr>
          <w:rFonts w:asciiTheme="minorHAnsi" w:hAnsiTheme="minorHAnsi" w:cstheme="minorHAnsi"/>
          <w:iCs/>
          <w:color w:val="595959" w:themeColor="text1" w:themeTint="A6"/>
          <w:sz w:val="20"/>
          <w:szCs w:val="20"/>
        </w:rPr>
      </w:pPr>
      <w:r>
        <w:rPr>
          <w:rFonts w:asciiTheme="minorHAnsi" w:hAnsiTheme="minorHAnsi" w:cstheme="minorHAnsi"/>
          <w:iCs/>
          <w:color w:val="595959" w:themeColor="text1" w:themeTint="A6"/>
          <w:sz w:val="20"/>
          <w:szCs w:val="20"/>
        </w:rPr>
        <w:t xml:space="preserve">  • the effectiveness of</w:t>
      </w:r>
      <w:r>
        <w:rPr>
          <w:rFonts w:asciiTheme="minorHAnsi" w:hAnsiTheme="minorHAnsi" w:cstheme="minorHAnsi"/>
          <w:iCs/>
          <w:color w:val="595959" w:themeColor="text1" w:themeTint="A6"/>
          <w:sz w:val="20"/>
          <w:szCs w:val="20"/>
        </w:rPr>
        <w:t xml:space="preserve"> the adjustment; </w:t>
      </w:r>
    </w:p>
    <w:p w:rsidR="002F0262" w:rsidRDefault="00525FEF">
      <w:pPr>
        <w:pStyle w:val="NormalWeb"/>
        <w:pBdr>
          <w:left w:val="single" w:sz="8" w:space="4" w:color="FFC000"/>
        </w:pBdr>
        <w:shd w:val="clear" w:color="auto" w:fill="F2F2F2" w:themeFill="background1" w:themeFillShade="F2"/>
        <w:spacing w:before="0" w:beforeAutospacing="0" w:after="0" w:afterAutospacing="0"/>
        <w:ind w:left="720"/>
        <w:jc w:val="both"/>
        <w:rPr>
          <w:rFonts w:asciiTheme="minorHAnsi" w:hAnsiTheme="minorHAnsi" w:cstheme="minorHAnsi"/>
          <w:iCs/>
          <w:color w:val="595959" w:themeColor="text1" w:themeTint="A6"/>
          <w:sz w:val="20"/>
          <w:szCs w:val="20"/>
        </w:rPr>
      </w:pPr>
      <w:r>
        <w:rPr>
          <w:rFonts w:asciiTheme="minorHAnsi" w:hAnsiTheme="minorHAnsi" w:cstheme="minorHAnsi"/>
          <w:iCs/>
          <w:color w:val="595959" w:themeColor="text1" w:themeTint="A6"/>
          <w:sz w:val="20"/>
          <w:szCs w:val="20"/>
        </w:rPr>
        <w:t xml:space="preserve">  • the cost of the adjustment; and </w:t>
      </w:r>
    </w:p>
    <w:p w:rsidR="002F0262" w:rsidRDefault="00525FEF">
      <w:pPr>
        <w:pStyle w:val="NormalWeb"/>
        <w:pBdr>
          <w:left w:val="single" w:sz="8" w:space="4" w:color="FFC000"/>
        </w:pBdr>
        <w:shd w:val="clear" w:color="auto" w:fill="F2F2F2" w:themeFill="background1" w:themeFillShade="F2"/>
        <w:spacing w:before="0" w:beforeAutospacing="0" w:after="0" w:afterAutospacing="0"/>
        <w:ind w:left="720"/>
        <w:jc w:val="both"/>
        <w:rPr>
          <w:rFonts w:asciiTheme="minorHAnsi" w:hAnsiTheme="minorHAnsi" w:cstheme="minorHAnsi"/>
          <w:iCs/>
          <w:color w:val="595959" w:themeColor="text1" w:themeTint="A6"/>
          <w:sz w:val="20"/>
          <w:szCs w:val="20"/>
        </w:rPr>
      </w:pPr>
      <w:r>
        <w:rPr>
          <w:rFonts w:asciiTheme="minorHAnsi" w:hAnsiTheme="minorHAnsi" w:cstheme="minorHAnsi"/>
          <w:iCs/>
          <w:color w:val="595959" w:themeColor="text1" w:themeTint="A6"/>
          <w:sz w:val="20"/>
          <w:szCs w:val="20"/>
        </w:rPr>
        <w:t xml:space="preserve">  • the likely impact of the adjustment upon the candidate and other candidates. </w:t>
      </w:r>
    </w:p>
    <w:p w:rsidR="002F0262" w:rsidRDefault="00525FEF">
      <w:pPr>
        <w:pStyle w:val="NormalWeb"/>
        <w:pBdr>
          <w:left w:val="single" w:sz="8" w:space="4" w:color="FFC000"/>
        </w:pBdr>
        <w:shd w:val="clear" w:color="auto" w:fill="F2F2F2" w:themeFill="background1" w:themeFillShade="F2"/>
        <w:spacing w:before="60" w:beforeAutospacing="0" w:after="0" w:afterAutospacing="0"/>
        <w:ind w:left="720"/>
        <w:jc w:val="both"/>
        <w:rPr>
          <w:rFonts w:asciiTheme="minorHAnsi" w:hAnsiTheme="minorHAnsi" w:cstheme="minorHAnsi"/>
          <w:iCs/>
          <w:color w:val="595959" w:themeColor="text1" w:themeTint="A6"/>
          <w:sz w:val="20"/>
          <w:szCs w:val="20"/>
        </w:rPr>
      </w:pPr>
      <w:r>
        <w:rPr>
          <w:rFonts w:asciiTheme="minorHAnsi" w:hAnsiTheme="minorHAnsi" w:cstheme="minorHAnsi"/>
          <w:iCs/>
          <w:color w:val="595959" w:themeColor="text1" w:themeTint="A6"/>
          <w:sz w:val="20"/>
          <w:szCs w:val="20"/>
        </w:rPr>
        <w:t xml:space="preserve"> An adjustment will not be approved if it: </w:t>
      </w:r>
    </w:p>
    <w:p w:rsidR="002F0262" w:rsidRDefault="00525FEF">
      <w:pPr>
        <w:pStyle w:val="NormalWeb"/>
        <w:pBdr>
          <w:left w:val="single" w:sz="8" w:space="4" w:color="FFC000"/>
        </w:pBdr>
        <w:shd w:val="clear" w:color="auto" w:fill="F2F2F2" w:themeFill="background1" w:themeFillShade="F2"/>
        <w:spacing w:before="0" w:beforeAutospacing="0" w:after="0" w:afterAutospacing="0"/>
        <w:ind w:left="720"/>
        <w:jc w:val="both"/>
        <w:rPr>
          <w:rFonts w:asciiTheme="minorHAnsi" w:hAnsiTheme="minorHAnsi" w:cstheme="minorHAnsi"/>
          <w:iCs/>
          <w:color w:val="595959" w:themeColor="text1" w:themeTint="A6"/>
          <w:sz w:val="20"/>
          <w:szCs w:val="20"/>
        </w:rPr>
      </w:pPr>
      <w:r>
        <w:rPr>
          <w:rFonts w:asciiTheme="minorHAnsi" w:hAnsiTheme="minorHAnsi" w:cstheme="minorHAnsi"/>
          <w:iCs/>
          <w:color w:val="595959" w:themeColor="text1" w:themeTint="A6"/>
          <w:sz w:val="20"/>
          <w:szCs w:val="20"/>
        </w:rPr>
        <w:t xml:space="preserve">  • involves unreasonable costs to the awarding body; </w:t>
      </w:r>
    </w:p>
    <w:p w:rsidR="002F0262" w:rsidRDefault="00525FEF">
      <w:pPr>
        <w:pStyle w:val="NormalWeb"/>
        <w:pBdr>
          <w:left w:val="single" w:sz="8" w:space="4" w:color="FFC000"/>
        </w:pBdr>
        <w:shd w:val="clear" w:color="auto" w:fill="F2F2F2" w:themeFill="background1" w:themeFillShade="F2"/>
        <w:spacing w:before="0" w:beforeAutospacing="0" w:after="0" w:afterAutospacing="0"/>
        <w:ind w:left="720"/>
        <w:jc w:val="both"/>
        <w:rPr>
          <w:rFonts w:asciiTheme="minorHAnsi" w:hAnsiTheme="minorHAnsi" w:cstheme="minorHAnsi"/>
          <w:iCs/>
          <w:color w:val="595959" w:themeColor="text1" w:themeTint="A6"/>
          <w:sz w:val="20"/>
          <w:szCs w:val="20"/>
        </w:rPr>
      </w:pPr>
      <w:r>
        <w:rPr>
          <w:rFonts w:asciiTheme="minorHAnsi" w:hAnsiTheme="minorHAnsi" w:cstheme="minorHAnsi"/>
          <w:iCs/>
          <w:color w:val="595959" w:themeColor="text1" w:themeTint="A6"/>
          <w:sz w:val="20"/>
          <w:szCs w:val="20"/>
        </w:rPr>
        <w:t xml:space="preserve">  • involves unreasonable timeframes; or </w:t>
      </w:r>
    </w:p>
    <w:p w:rsidR="002F0262" w:rsidRDefault="00525FEF">
      <w:pPr>
        <w:pStyle w:val="NormalWeb"/>
        <w:pBdr>
          <w:left w:val="single" w:sz="8" w:space="4" w:color="FFC000"/>
        </w:pBdr>
        <w:shd w:val="clear" w:color="auto" w:fill="F2F2F2" w:themeFill="background1" w:themeFillShade="F2"/>
        <w:spacing w:before="0" w:beforeAutospacing="0" w:after="0" w:afterAutospacing="0"/>
        <w:ind w:left="720"/>
        <w:jc w:val="both"/>
        <w:rPr>
          <w:rFonts w:asciiTheme="minorHAnsi" w:hAnsiTheme="minorHAnsi" w:cstheme="minorHAnsi"/>
          <w:iCs/>
          <w:color w:val="595959" w:themeColor="text1" w:themeTint="A6"/>
          <w:sz w:val="20"/>
          <w:szCs w:val="20"/>
        </w:rPr>
      </w:pPr>
      <w:r>
        <w:rPr>
          <w:rFonts w:asciiTheme="minorHAnsi" w:hAnsiTheme="minorHAnsi" w:cstheme="minorHAnsi"/>
          <w:iCs/>
          <w:color w:val="595959" w:themeColor="text1" w:themeTint="A6"/>
          <w:sz w:val="20"/>
          <w:szCs w:val="20"/>
        </w:rPr>
        <w:t xml:space="preserve">  • affects the security and integrity of the assessment. </w:t>
      </w:r>
    </w:p>
    <w:p w:rsidR="002F0262" w:rsidRDefault="00525FEF">
      <w:pPr>
        <w:pStyle w:val="NormalWeb"/>
        <w:pBdr>
          <w:left w:val="single" w:sz="8" w:space="4" w:color="FFC000"/>
        </w:pBdr>
        <w:shd w:val="clear" w:color="auto" w:fill="F2F2F2" w:themeFill="background1" w:themeFillShade="F2"/>
        <w:spacing w:before="60" w:beforeAutospacing="0" w:after="0" w:afterAutospacing="0"/>
        <w:ind w:left="720"/>
        <w:jc w:val="both"/>
        <w:rPr>
          <w:rFonts w:asciiTheme="minorHAnsi" w:hAnsiTheme="minorHAnsi" w:cstheme="minorHAnsi"/>
          <w:iCs/>
          <w:color w:val="595959" w:themeColor="text1" w:themeTint="A6"/>
          <w:sz w:val="20"/>
          <w:szCs w:val="20"/>
        </w:rPr>
      </w:pPr>
      <w:r>
        <w:rPr>
          <w:rFonts w:asciiTheme="minorHAnsi" w:hAnsiTheme="minorHAnsi" w:cstheme="minorHAnsi"/>
          <w:iCs/>
          <w:color w:val="595959" w:themeColor="text1" w:themeTint="A6"/>
          <w:sz w:val="20"/>
          <w:szCs w:val="20"/>
        </w:rPr>
        <w:t>This is because the adjustment is not ‘reasonable’. Access arrangements are the principal way in which awarding bodies comply with the duty under the Equal</w:t>
      </w:r>
      <w:r>
        <w:rPr>
          <w:rFonts w:asciiTheme="minorHAnsi" w:hAnsiTheme="minorHAnsi" w:cstheme="minorHAnsi"/>
          <w:iCs/>
          <w:color w:val="595959" w:themeColor="text1" w:themeTint="A6"/>
          <w:sz w:val="20"/>
          <w:szCs w:val="20"/>
        </w:rPr>
        <w:t>ity Act 2010* to make ‘reasonable adjustments’.</w:t>
      </w:r>
    </w:p>
    <w:p w:rsidR="002F0262" w:rsidRDefault="00525FEF">
      <w:pPr>
        <w:pStyle w:val="NormalWeb"/>
        <w:pBdr>
          <w:left w:val="single" w:sz="8" w:space="4" w:color="FFC000"/>
        </w:pBdr>
        <w:shd w:val="clear" w:color="auto" w:fill="F2F2F2" w:themeFill="background1" w:themeFillShade="F2"/>
        <w:spacing w:before="60" w:beforeAutospacing="0" w:after="0" w:afterAutospacing="0"/>
        <w:ind w:left="720"/>
        <w:jc w:val="both"/>
        <w:rPr>
          <w:rFonts w:asciiTheme="minorHAnsi" w:hAnsiTheme="minorHAnsi" w:cstheme="minorHAnsi"/>
          <w:iCs/>
          <w:color w:val="595959" w:themeColor="text1" w:themeTint="A6"/>
          <w:sz w:val="20"/>
          <w:szCs w:val="20"/>
        </w:rPr>
      </w:pPr>
      <w:r>
        <w:rPr>
          <w:rFonts w:asciiTheme="minorHAnsi" w:hAnsiTheme="minorHAnsi" w:cstheme="minorHAnsi"/>
          <w:color w:val="595959" w:themeColor="text1" w:themeTint="A6"/>
          <w:sz w:val="20"/>
          <w:szCs w:val="20"/>
        </w:rPr>
        <w:t>[</w:t>
      </w:r>
      <w:hyperlink r:id="rId10" w:history="1">
        <w:r>
          <w:rPr>
            <w:rStyle w:val="Hyperlink"/>
            <w:rFonts w:asciiTheme="minorHAnsi" w:hAnsiTheme="minorHAnsi" w:cstheme="minorHAnsi"/>
            <w:sz w:val="20"/>
            <w:szCs w:val="20"/>
          </w:rPr>
          <w:t>AA</w:t>
        </w:r>
      </w:hyperlink>
      <w:r>
        <w:rPr>
          <w:rFonts w:asciiTheme="minorHAnsi" w:hAnsiTheme="minorHAnsi" w:cstheme="minorHAnsi"/>
          <w:sz w:val="20"/>
          <w:szCs w:val="20"/>
        </w:rPr>
        <w:t xml:space="preserve"> </w:t>
      </w:r>
      <w:r>
        <w:rPr>
          <w:rFonts w:asciiTheme="minorHAnsi" w:hAnsiTheme="minorHAnsi" w:cstheme="minorHAnsi"/>
          <w:color w:val="595959" w:themeColor="text1" w:themeTint="A6"/>
          <w:sz w:val="20"/>
          <w:szCs w:val="20"/>
        </w:rPr>
        <w:t>Definitions, page 3]</w:t>
      </w:r>
      <w:r>
        <w:rPr>
          <w:rFonts w:asciiTheme="minorHAnsi" w:hAnsiTheme="minorHAnsi" w:cstheme="minorHAnsi"/>
          <w:iCs/>
          <w:color w:val="595959" w:themeColor="text1" w:themeTint="A6"/>
          <w:sz w:val="20"/>
          <w:szCs w:val="20"/>
        </w:rPr>
        <w:t xml:space="preserve">                         </w:t>
      </w:r>
    </w:p>
    <w:p w:rsidR="002F0262" w:rsidRDefault="00525FEF">
      <w:pPr>
        <w:pStyle w:val="Headinglevel1"/>
        <w:spacing w:before="240" w:line="276" w:lineRule="auto"/>
        <w:rPr>
          <w:rFonts w:asciiTheme="minorHAnsi" w:hAnsiTheme="minorHAnsi" w:cstheme="minorHAnsi"/>
        </w:rPr>
      </w:pPr>
      <w:bookmarkStart w:id="22" w:name="_Toc490083853"/>
      <w:bookmarkStart w:id="23" w:name="_Toc523473883"/>
      <w:bookmarkStart w:id="24" w:name="_Toc22304699"/>
      <w:bookmarkStart w:id="25" w:name="_Toc22487027"/>
      <w:bookmarkStart w:id="26" w:name="_Toc22487146"/>
      <w:bookmarkStart w:id="27" w:name="_Toc22487621"/>
      <w:bookmarkStart w:id="28" w:name="_Toc466921629"/>
      <w:bookmarkStart w:id="29" w:name="_Toc449469095"/>
      <w:bookmarkStart w:id="30" w:name="_Hlk523424464"/>
      <w:r>
        <w:rPr>
          <w:rFonts w:asciiTheme="minorHAnsi" w:hAnsiTheme="minorHAnsi" w:cstheme="minorHAnsi"/>
        </w:rPr>
        <w:t>Purpose of the policy</w:t>
      </w:r>
      <w:bookmarkEnd w:id="22"/>
      <w:bookmarkEnd w:id="23"/>
      <w:bookmarkEnd w:id="24"/>
      <w:bookmarkEnd w:id="25"/>
      <w:bookmarkEnd w:id="26"/>
      <w:bookmarkEnd w:id="27"/>
    </w:p>
    <w:p w:rsidR="002F0262" w:rsidRDefault="00525FEF">
      <w:pPr>
        <w:spacing w:after="0" w:line="276" w:lineRule="auto"/>
        <w:jc w:val="both"/>
        <w:rPr>
          <w:rFonts w:asciiTheme="minorHAnsi" w:hAnsiTheme="minorHAnsi" w:cstheme="minorHAnsi"/>
          <w:i/>
          <w:szCs w:val="24"/>
        </w:rPr>
      </w:pPr>
      <w:r>
        <w:rPr>
          <w:rFonts w:asciiTheme="minorHAnsi" w:hAnsiTheme="minorHAnsi" w:cstheme="minorHAnsi"/>
          <w:szCs w:val="24"/>
        </w:rPr>
        <w:t>The purpose of</w:t>
      </w:r>
      <w:r>
        <w:rPr>
          <w:rFonts w:asciiTheme="minorHAnsi" w:hAnsiTheme="minorHAnsi" w:cstheme="minorHAnsi"/>
          <w:szCs w:val="24"/>
        </w:rPr>
        <w:t xml:space="preserve"> this policy is to confirm that Cardinal Langley RC High School has a written record which clearly shows the centre is leading on the access arrangements process and is complying with its </w:t>
      </w:r>
      <w:r>
        <w:rPr>
          <w:rFonts w:asciiTheme="minorHAnsi" w:hAnsiTheme="minorHAnsi" w:cstheme="minorHAnsi"/>
          <w:iCs/>
          <w:color w:val="595959" w:themeColor="text1" w:themeTint="A6"/>
          <w:szCs w:val="24"/>
        </w:rPr>
        <w:t>…obligation to identify the need for, request and implement access a</w:t>
      </w:r>
      <w:r>
        <w:rPr>
          <w:rFonts w:asciiTheme="minorHAnsi" w:hAnsiTheme="minorHAnsi" w:cstheme="minorHAnsi"/>
          <w:iCs/>
          <w:color w:val="595959" w:themeColor="text1" w:themeTint="A6"/>
          <w:szCs w:val="24"/>
        </w:rPr>
        <w:t>rrangements...</w:t>
      </w:r>
    </w:p>
    <w:p w:rsidR="002F0262" w:rsidRDefault="00525FEF">
      <w:pPr>
        <w:pStyle w:val="ListParagraph"/>
        <w:tabs>
          <w:tab w:val="left" w:pos="10490"/>
        </w:tabs>
        <w:spacing w:before="0" w:line="276" w:lineRule="auto"/>
        <w:ind w:right="-11"/>
        <w:jc w:val="right"/>
        <w:rPr>
          <w:rFonts w:asciiTheme="minorHAnsi" w:hAnsiTheme="minorHAnsi" w:cstheme="minorHAnsi"/>
          <w:sz w:val="18"/>
          <w:szCs w:val="18"/>
        </w:rPr>
      </w:pPr>
      <w:r>
        <w:rPr>
          <w:rFonts w:asciiTheme="minorHAnsi" w:hAnsiTheme="minorHAnsi" w:cstheme="minorHAnsi"/>
          <w:sz w:val="18"/>
          <w:szCs w:val="18"/>
        </w:rPr>
        <w:t>[JCQ General Regulations for Approved Centres, 5.5]</w:t>
      </w:r>
    </w:p>
    <w:p w:rsidR="002F0262" w:rsidRDefault="00525FEF">
      <w:pPr>
        <w:jc w:val="right"/>
        <w:rPr>
          <w:rFonts w:asciiTheme="minorHAnsi" w:hAnsiTheme="minorHAnsi" w:cstheme="minorHAnsi"/>
          <w:i/>
          <w:color w:val="000000"/>
          <w:szCs w:val="24"/>
        </w:rPr>
      </w:pPr>
      <w:r>
        <w:rPr>
          <w:rFonts w:asciiTheme="minorHAnsi" w:hAnsiTheme="minorHAnsi" w:cstheme="minorHAnsi"/>
          <w:szCs w:val="24"/>
        </w:rPr>
        <w:t xml:space="preserve">This publication is further referred to in this policy as </w:t>
      </w:r>
      <w:hyperlink r:id="rId11" w:history="1">
        <w:r>
          <w:rPr>
            <w:rStyle w:val="Hyperlink"/>
            <w:rFonts w:asciiTheme="minorHAnsi" w:hAnsiTheme="minorHAnsi" w:cstheme="minorHAnsi"/>
            <w:szCs w:val="24"/>
          </w:rPr>
          <w:t>GR</w:t>
        </w:r>
      </w:hyperlink>
    </w:p>
    <w:p w:rsidR="002F0262" w:rsidRDefault="00525FEF">
      <w:pPr>
        <w:tabs>
          <w:tab w:val="left" w:pos="10490"/>
        </w:tabs>
        <w:spacing w:line="276" w:lineRule="auto"/>
        <w:ind w:right="-11"/>
        <w:jc w:val="both"/>
        <w:rPr>
          <w:rFonts w:asciiTheme="minorHAnsi" w:eastAsia="Times New Roman" w:hAnsiTheme="minorHAnsi" w:cstheme="minorHAnsi"/>
        </w:rPr>
      </w:pPr>
      <w:r>
        <w:rPr>
          <w:rFonts w:asciiTheme="minorHAnsi" w:eastAsia="Times New Roman" w:hAnsiTheme="minorHAnsi" w:cstheme="minorHAnsi"/>
        </w:rPr>
        <w:t xml:space="preserve">This policy is maintained and held by the </w:t>
      </w:r>
      <w:proofErr w:type="spellStart"/>
      <w:r>
        <w:rPr>
          <w:rFonts w:asciiTheme="minorHAnsi" w:eastAsia="Times New Roman" w:hAnsiTheme="minorHAnsi" w:cstheme="minorHAnsi"/>
        </w:rPr>
        <w:t>SENDCo</w:t>
      </w:r>
      <w:proofErr w:type="spellEnd"/>
      <w:r>
        <w:rPr>
          <w:rFonts w:asciiTheme="minorHAnsi" w:eastAsia="Times New Roman" w:hAnsiTheme="minorHAnsi" w:cstheme="minorHAnsi"/>
        </w:rPr>
        <w:t xml:space="preserve"> alongside the individual files/e-folders of each access arrangements candidate. Each file/e-folder contains detailed records of all the essential information that is required to be held according to the regulations. </w:t>
      </w:r>
    </w:p>
    <w:p w:rsidR="002F0262" w:rsidRDefault="00525FEF">
      <w:pPr>
        <w:autoSpaceDE w:val="0"/>
        <w:autoSpaceDN w:val="0"/>
        <w:adjustRightInd w:val="0"/>
        <w:spacing w:after="0" w:line="276" w:lineRule="auto"/>
        <w:jc w:val="both"/>
        <w:rPr>
          <w:rFonts w:asciiTheme="minorHAnsi" w:hAnsiTheme="minorHAnsi" w:cstheme="minorHAnsi"/>
          <w:szCs w:val="24"/>
        </w:rPr>
      </w:pPr>
      <w:r>
        <w:rPr>
          <w:rFonts w:asciiTheme="minorHAnsi" w:hAnsiTheme="minorHAnsi" w:cstheme="minorHAnsi"/>
          <w:szCs w:val="24"/>
        </w:rPr>
        <w:t>The policy is annually reviewed to ens</w:t>
      </w:r>
      <w:r>
        <w:rPr>
          <w:rFonts w:asciiTheme="minorHAnsi" w:hAnsiTheme="minorHAnsi" w:cstheme="minorHAnsi"/>
          <w:szCs w:val="24"/>
        </w:rPr>
        <w:t xml:space="preserve">ure that processes are carried out in accordance with the current edition of the JCQ publication </w:t>
      </w:r>
      <w:r>
        <w:rPr>
          <w:rFonts w:asciiTheme="minorHAnsi" w:hAnsiTheme="minorHAnsi" w:cstheme="minorHAnsi"/>
          <w:bCs/>
          <w:szCs w:val="24"/>
        </w:rPr>
        <w:t>Adjustments for candidates with disabilities and learning difficulties</w:t>
      </w:r>
      <w:r>
        <w:rPr>
          <w:rFonts w:asciiTheme="minorHAnsi" w:hAnsiTheme="minorHAnsi" w:cstheme="minorHAnsi"/>
          <w:szCs w:val="24"/>
        </w:rPr>
        <w:t xml:space="preserve"> </w:t>
      </w:r>
      <w:r>
        <w:rPr>
          <w:rFonts w:asciiTheme="minorHAnsi" w:hAnsiTheme="minorHAnsi" w:cstheme="minorHAnsi"/>
          <w:bCs/>
          <w:szCs w:val="24"/>
        </w:rPr>
        <w:t>Access Arrangements and Reasonable Adjustments.</w:t>
      </w:r>
    </w:p>
    <w:p w:rsidR="002F0262" w:rsidRDefault="00525FEF">
      <w:pPr>
        <w:spacing w:line="276" w:lineRule="auto"/>
        <w:jc w:val="right"/>
        <w:rPr>
          <w:rFonts w:asciiTheme="minorHAnsi" w:hAnsiTheme="minorHAnsi" w:cstheme="minorHAnsi"/>
          <w:szCs w:val="24"/>
        </w:rPr>
      </w:pPr>
      <w:r>
        <w:rPr>
          <w:rFonts w:asciiTheme="minorHAnsi" w:hAnsiTheme="minorHAnsi" w:cstheme="minorHAnsi"/>
          <w:bCs/>
          <w:szCs w:val="24"/>
        </w:rPr>
        <w:t xml:space="preserve">This publication is further referred to </w:t>
      </w:r>
      <w:r>
        <w:rPr>
          <w:rFonts w:asciiTheme="minorHAnsi" w:hAnsiTheme="minorHAnsi" w:cstheme="minorHAnsi"/>
          <w:bCs/>
          <w:szCs w:val="24"/>
        </w:rPr>
        <w:t xml:space="preserve">in this policy as </w:t>
      </w:r>
      <w:hyperlink r:id="rId12" w:history="1">
        <w:r>
          <w:rPr>
            <w:rStyle w:val="Hyperlink"/>
            <w:rFonts w:asciiTheme="minorHAnsi" w:hAnsiTheme="minorHAnsi" w:cstheme="minorHAnsi"/>
            <w:szCs w:val="24"/>
          </w:rPr>
          <w:t>AA</w:t>
        </w:r>
      </w:hyperlink>
    </w:p>
    <w:p w:rsidR="002F0262" w:rsidRDefault="00525FEF">
      <w:pPr>
        <w:pStyle w:val="Headinglevel1"/>
        <w:spacing w:before="240" w:line="276" w:lineRule="auto"/>
        <w:rPr>
          <w:rFonts w:asciiTheme="minorHAnsi" w:hAnsiTheme="minorHAnsi" w:cstheme="minorHAnsi"/>
        </w:rPr>
      </w:pPr>
      <w:bookmarkStart w:id="31" w:name="_Toc490083854"/>
      <w:bookmarkStart w:id="32" w:name="_Toc496088793"/>
      <w:bookmarkStart w:id="33" w:name="_Toc523473884"/>
      <w:bookmarkStart w:id="34" w:name="_Toc22304700"/>
      <w:bookmarkStart w:id="35" w:name="_Toc22487028"/>
      <w:bookmarkStart w:id="36" w:name="_Toc22487147"/>
      <w:bookmarkStart w:id="37" w:name="_Toc22487622"/>
      <w:bookmarkStart w:id="38" w:name="_Toc443593739"/>
      <w:bookmarkStart w:id="39" w:name="_Toc466921640"/>
      <w:bookmarkEnd w:id="28"/>
      <w:bookmarkEnd w:id="29"/>
      <w:bookmarkEnd w:id="30"/>
      <w:r>
        <w:rPr>
          <w:rFonts w:asciiTheme="minorHAnsi" w:hAnsiTheme="minorHAnsi" w:cstheme="minorHAnsi"/>
        </w:rPr>
        <w:t>Disability policy (exams)</w:t>
      </w:r>
      <w:bookmarkEnd w:id="31"/>
      <w:bookmarkEnd w:id="32"/>
      <w:bookmarkEnd w:id="33"/>
      <w:bookmarkEnd w:id="34"/>
      <w:bookmarkEnd w:id="35"/>
      <w:bookmarkEnd w:id="36"/>
      <w:bookmarkEnd w:id="37"/>
    </w:p>
    <w:p w:rsidR="002F0262" w:rsidRDefault="00525FEF">
      <w:pPr>
        <w:spacing w:after="80" w:line="276" w:lineRule="auto"/>
        <w:jc w:val="both"/>
        <w:rPr>
          <w:rFonts w:asciiTheme="minorHAnsi" w:hAnsiTheme="minorHAnsi" w:cstheme="minorHAnsi"/>
          <w:szCs w:val="24"/>
        </w:rPr>
      </w:pPr>
      <w:r>
        <w:rPr>
          <w:rFonts w:asciiTheme="minorHAnsi" w:hAnsiTheme="minorHAnsi" w:cstheme="minorHAnsi"/>
          <w:szCs w:val="24"/>
        </w:rPr>
        <w:t>A large part of the access arrangements process is covered in the Disability Policy (ex</w:t>
      </w:r>
      <w:r>
        <w:rPr>
          <w:rFonts w:asciiTheme="minorHAnsi" w:hAnsiTheme="minorHAnsi" w:cstheme="minorHAnsi"/>
          <w:szCs w:val="24"/>
        </w:rPr>
        <w:t>ams) which covers staff roles and responsibilities in identifying the need for, requesting and implementing access arrangements and the conduct of exams.</w:t>
      </w:r>
    </w:p>
    <w:p w:rsidR="002F0262" w:rsidRDefault="00525FEF">
      <w:pPr>
        <w:spacing w:before="0" w:line="276" w:lineRule="auto"/>
        <w:jc w:val="both"/>
        <w:rPr>
          <w:rFonts w:asciiTheme="minorHAnsi" w:hAnsiTheme="minorHAnsi" w:cstheme="minorHAnsi"/>
          <w:b/>
          <w:szCs w:val="24"/>
        </w:rPr>
      </w:pPr>
      <w:hyperlink r:id="rId13" w:history="1">
        <w:r>
          <w:rPr>
            <w:rStyle w:val="Hyperlink"/>
            <w:rFonts w:asciiTheme="minorHAnsi" w:hAnsiTheme="minorHAnsi" w:cstheme="minorHAnsi"/>
            <w:b/>
            <w:szCs w:val="24"/>
          </w:rPr>
          <w:t>Appendix 3:</w:t>
        </w:r>
      </w:hyperlink>
      <w:r>
        <w:rPr>
          <w:rFonts w:asciiTheme="minorHAnsi" w:hAnsiTheme="minorHAnsi" w:cstheme="minorHAnsi"/>
          <w:b/>
          <w:szCs w:val="24"/>
        </w:rPr>
        <w:t xml:space="preserve"> Disab</w:t>
      </w:r>
      <w:r>
        <w:rPr>
          <w:rFonts w:asciiTheme="minorHAnsi" w:hAnsiTheme="minorHAnsi" w:cstheme="minorHAnsi"/>
          <w:b/>
          <w:szCs w:val="24"/>
        </w:rPr>
        <w:t>ility Policy</w:t>
      </w:r>
    </w:p>
    <w:p w:rsidR="002F0262" w:rsidRDefault="00525FEF">
      <w:pPr>
        <w:spacing w:line="276" w:lineRule="auto"/>
        <w:jc w:val="both"/>
        <w:rPr>
          <w:rFonts w:asciiTheme="minorHAnsi" w:hAnsiTheme="minorHAnsi" w:cstheme="minorHAnsi"/>
          <w:szCs w:val="24"/>
        </w:rPr>
      </w:pPr>
      <w:bookmarkStart w:id="40" w:name="_Toc443593725"/>
      <w:r>
        <w:rPr>
          <w:rFonts w:asciiTheme="minorHAnsi" w:hAnsiTheme="minorHAnsi" w:cstheme="minorHAnsi"/>
          <w:szCs w:val="24"/>
        </w:rPr>
        <w:t>This Access arrangements policy further covers the assessment process and related issues in more detail.</w:t>
      </w:r>
    </w:p>
    <w:p w:rsidR="002F0262" w:rsidRDefault="00525FEF">
      <w:pPr>
        <w:pStyle w:val="Headinglevel1"/>
        <w:spacing w:before="240" w:line="276" w:lineRule="auto"/>
        <w:rPr>
          <w:rFonts w:asciiTheme="minorHAnsi" w:hAnsiTheme="minorHAnsi" w:cstheme="minorHAnsi"/>
        </w:rPr>
      </w:pPr>
      <w:bookmarkStart w:id="41" w:name="_Toc466921631"/>
      <w:bookmarkStart w:id="42" w:name="_Toc490083855"/>
      <w:bookmarkStart w:id="43" w:name="_Toc496088794"/>
      <w:bookmarkStart w:id="44" w:name="_Toc523473885"/>
      <w:bookmarkStart w:id="45" w:name="_Toc22304701"/>
      <w:bookmarkStart w:id="46" w:name="_Toc22487029"/>
      <w:bookmarkStart w:id="47" w:name="_Toc22487148"/>
      <w:bookmarkStart w:id="48" w:name="_Toc22487623"/>
      <w:r>
        <w:rPr>
          <w:rFonts w:asciiTheme="minorHAnsi" w:hAnsiTheme="minorHAnsi" w:cstheme="minorHAnsi"/>
        </w:rPr>
        <w:lastRenderedPageBreak/>
        <w:t>The assessment process</w:t>
      </w:r>
      <w:bookmarkEnd w:id="40"/>
      <w:bookmarkEnd w:id="41"/>
      <w:bookmarkEnd w:id="42"/>
      <w:bookmarkEnd w:id="43"/>
      <w:bookmarkEnd w:id="44"/>
      <w:bookmarkEnd w:id="45"/>
      <w:bookmarkEnd w:id="46"/>
      <w:bookmarkEnd w:id="47"/>
      <w:bookmarkEnd w:id="48"/>
    </w:p>
    <w:p w:rsidR="002F0262" w:rsidRDefault="00525FEF">
      <w:pPr>
        <w:spacing w:line="276" w:lineRule="auto"/>
        <w:jc w:val="both"/>
        <w:rPr>
          <w:rFonts w:asciiTheme="minorHAnsi" w:hAnsiTheme="minorHAnsi" w:cstheme="minorHAnsi"/>
          <w:szCs w:val="24"/>
        </w:rPr>
      </w:pPr>
      <w:r>
        <w:rPr>
          <w:rFonts w:asciiTheme="minorHAnsi" w:hAnsiTheme="minorHAnsi" w:cstheme="minorHAnsi"/>
          <w:szCs w:val="24"/>
        </w:rPr>
        <w:t>Assessments are carried out by an assessor(s) appointed by the head of centre.  The assessor(s) is (are) appropriat</w:t>
      </w:r>
      <w:r>
        <w:rPr>
          <w:rFonts w:asciiTheme="minorHAnsi" w:hAnsiTheme="minorHAnsi" w:cstheme="minorHAnsi"/>
          <w:szCs w:val="24"/>
        </w:rPr>
        <w:t xml:space="preserve">ely qualified as required by JCQ regulations in </w:t>
      </w:r>
      <w:hyperlink r:id="rId14" w:history="1">
        <w:r>
          <w:rPr>
            <w:rStyle w:val="Hyperlink"/>
            <w:rFonts w:asciiTheme="minorHAnsi" w:hAnsiTheme="minorHAnsi" w:cstheme="minorHAnsi"/>
            <w:szCs w:val="24"/>
          </w:rPr>
          <w:t>AA</w:t>
        </w:r>
      </w:hyperlink>
      <w:r>
        <w:rPr>
          <w:rFonts w:asciiTheme="minorHAnsi" w:hAnsiTheme="minorHAnsi" w:cstheme="minorHAnsi"/>
          <w:szCs w:val="24"/>
        </w:rPr>
        <w:t xml:space="preserve"> 7.3.</w:t>
      </w:r>
    </w:p>
    <w:p w:rsidR="002F0262" w:rsidRDefault="00525FEF">
      <w:pPr>
        <w:pStyle w:val="Headinglevel2"/>
        <w:spacing w:before="240" w:after="120" w:line="276" w:lineRule="auto"/>
        <w:rPr>
          <w:rFonts w:asciiTheme="minorHAnsi" w:hAnsiTheme="minorHAnsi" w:cstheme="minorHAnsi"/>
          <w:color w:val="auto"/>
        </w:rPr>
      </w:pPr>
      <w:bookmarkStart w:id="49" w:name="_Toc490083856"/>
      <w:bookmarkStart w:id="50" w:name="_Toc496088795"/>
      <w:bookmarkStart w:id="51" w:name="_Toc523473886"/>
      <w:bookmarkStart w:id="52" w:name="_Toc22304702"/>
      <w:bookmarkStart w:id="53" w:name="_Toc22487030"/>
      <w:bookmarkStart w:id="54" w:name="_Toc22487149"/>
      <w:bookmarkStart w:id="55" w:name="_Toc22487624"/>
      <w:r>
        <w:rPr>
          <w:rFonts w:asciiTheme="minorHAnsi" w:hAnsiTheme="minorHAnsi" w:cstheme="minorHAnsi"/>
          <w:color w:val="auto"/>
        </w:rPr>
        <w:t>The qualification(s) of the current assessor(s)</w:t>
      </w:r>
      <w:bookmarkEnd w:id="49"/>
      <w:bookmarkEnd w:id="50"/>
      <w:bookmarkEnd w:id="51"/>
      <w:bookmarkEnd w:id="52"/>
      <w:bookmarkEnd w:id="53"/>
      <w:bookmarkEnd w:id="54"/>
      <w:bookmarkEnd w:id="55"/>
      <w:r>
        <w:rPr>
          <w:rFonts w:asciiTheme="minorHAnsi" w:hAnsiTheme="minorHAnsi" w:cstheme="minorHAnsi"/>
          <w:color w:val="auto"/>
        </w:rPr>
        <w:t xml:space="preserve"> </w:t>
      </w:r>
    </w:p>
    <w:tbl>
      <w:tblPr>
        <w:tblStyle w:val="TableGrid"/>
        <w:tblW w:w="0" w:type="auto"/>
        <w:tblInd w:w="720" w:type="dxa"/>
        <w:tblLook w:val="04A0" w:firstRow="1" w:lastRow="0" w:firstColumn="1" w:lastColumn="0" w:noHBand="0" w:noVBand="1"/>
      </w:tblPr>
      <w:tblGrid>
        <w:gridCol w:w="9322"/>
      </w:tblGrid>
      <w:tr w:rsidR="002F0262">
        <w:tc>
          <w:tcPr>
            <w:tcW w:w="9548" w:type="dxa"/>
          </w:tcPr>
          <w:p w:rsidR="002F0262" w:rsidRDefault="00525FEF">
            <w:pPr>
              <w:spacing w:line="276" w:lineRule="auto"/>
              <w:jc w:val="both"/>
              <w:rPr>
                <w:rFonts w:asciiTheme="minorHAnsi" w:hAnsiTheme="minorHAnsi" w:cstheme="minorHAnsi"/>
                <w:bCs/>
                <w:i/>
              </w:rPr>
            </w:pPr>
            <w:r>
              <w:rPr>
                <w:rFonts w:asciiTheme="minorHAnsi" w:hAnsiTheme="minorHAnsi" w:cstheme="minorHAnsi"/>
              </w:rPr>
              <w:t xml:space="preserve">Mrs S Lord, Certificate of </w:t>
            </w:r>
            <w:r>
              <w:rPr>
                <w:rFonts w:asciiTheme="minorHAnsi" w:hAnsiTheme="minorHAnsi" w:cstheme="minorHAnsi"/>
              </w:rPr>
              <w:t>Psychometric Testing, Assessment and Access Arrangements (CP3TA)</w:t>
            </w:r>
            <w:r>
              <w:rPr>
                <w:rFonts w:asciiTheme="minorHAnsi" w:hAnsiTheme="minorHAnsi" w:cstheme="minorHAnsi"/>
                <w:b/>
                <w:bCs/>
              </w:rPr>
              <w:t xml:space="preserve">                               </w:t>
            </w:r>
          </w:p>
        </w:tc>
      </w:tr>
    </w:tbl>
    <w:p w:rsidR="002F0262" w:rsidRDefault="00525FEF">
      <w:pPr>
        <w:pStyle w:val="Headinglevel2"/>
        <w:spacing w:before="240" w:after="120" w:line="276" w:lineRule="auto"/>
        <w:rPr>
          <w:rFonts w:asciiTheme="minorHAnsi" w:hAnsiTheme="minorHAnsi" w:cstheme="minorHAnsi"/>
          <w:color w:val="auto"/>
        </w:rPr>
      </w:pPr>
      <w:bookmarkStart w:id="56" w:name="_Toc523473887"/>
      <w:bookmarkStart w:id="57" w:name="_Toc22304703"/>
      <w:bookmarkStart w:id="58" w:name="_Toc22487031"/>
      <w:bookmarkStart w:id="59" w:name="_Toc22487150"/>
      <w:bookmarkStart w:id="60" w:name="_Toc22487625"/>
      <w:bookmarkStart w:id="61" w:name="_Toc466921632"/>
      <w:bookmarkStart w:id="62" w:name="_Toc490083857"/>
      <w:bookmarkStart w:id="63" w:name="_Toc496088796"/>
      <w:r>
        <w:rPr>
          <w:rFonts w:asciiTheme="minorHAnsi" w:hAnsiTheme="minorHAnsi" w:cstheme="minorHAnsi"/>
          <w:color w:val="auto"/>
        </w:rPr>
        <w:t>Appointment of assessors of candidates with learning difficulties</w:t>
      </w:r>
      <w:bookmarkEnd w:id="56"/>
      <w:bookmarkEnd w:id="57"/>
      <w:bookmarkEnd w:id="58"/>
      <w:bookmarkEnd w:id="59"/>
      <w:bookmarkEnd w:id="60"/>
    </w:p>
    <w:p w:rsidR="002F0262" w:rsidRDefault="00525FEF">
      <w:pPr>
        <w:spacing w:line="276" w:lineRule="auto"/>
        <w:jc w:val="both"/>
        <w:rPr>
          <w:rFonts w:asciiTheme="minorHAnsi" w:hAnsiTheme="minorHAnsi" w:cstheme="minorHAnsi"/>
          <w:szCs w:val="24"/>
        </w:rPr>
      </w:pPr>
      <w:r>
        <w:rPr>
          <w:rFonts w:asciiTheme="minorHAnsi" w:hAnsiTheme="minorHAnsi" w:cstheme="minorHAnsi"/>
          <w:szCs w:val="24"/>
        </w:rPr>
        <w:t xml:space="preserve">At the point an assessor is engaged/employed in the centre, evidence of the assessor’s qualification is obtained and checked against the current requirements in </w:t>
      </w:r>
      <w:hyperlink r:id="rId15" w:history="1">
        <w:r>
          <w:rPr>
            <w:rStyle w:val="Hyperlink"/>
            <w:rFonts w:asciiTheme="minorHAnsi" w:hAnsiTheme="minorHAnsi" w:cstheme="minorHAnsi"/>
            <w:szCs w:val="24"/>
          </w:rPr>
          <w:t>AA</w:t>
        </w:r>
      </w:hyperlink>
      <w:r>
        <w:rPr>
          <w:rFonts w:asciiTheme="minorHAnsi" w:hAnsiTheme="minorHAnsi" w:cstheme="minorHAnsi"/>
          <w:szCs w:val="24"/>
        </w:rPr>
        <w:t xml:space="preserve">. This process is carried out prior to the assessor undertaking any assessment of a candidate. </w:t>
      </w:r>
    </w:p>
    <w:p w:rsidR="002F0262" w:rsidRDefault="00525FEF">
      <w:pPr>
        <w:rPr>
          <w:rFonts w:asciiTheme="minorHAnsi" w:hAnsiTheme="minorHAnsi" w:cstheme="minorHAnsi"/>
          <w:b/>
          <w:szCs w:val="24"/>
        </w:rPr>
      </w:pPr>
      <w:r>
        <w:rPr>
          <w:rFonts w:asciiTheme="minorHAnsi" w:hAnsiTheme="minorHAnsi" w:cstheme="minorHAnsi"/>
          <w:b/>
          <w:szCs w:val="24"/>
        </w:rPr>
        <w:t>Checking the qualification(s) of the assessor(s)</w:t>
      </w:r>
      <w:bookmarkEnd w:id="61"/>
      <w:bookmarkEnd w:id="62"/>
      <w:bookmarkEnd w:id="63"/>
      <w:r>
        <w:rPr>
          <w:rFonts w:asciiTheme="minorHAnsi" w:hAnsiTheme="minorHAnsi" w:cstheme="minorHAnsi"/>
          <w:b/>
          <w:szCs w:val="24"/>
        </w:rPr>
        <w:t xml:space="preserve"> </w:t>
      </w:r>
    </w:p>
    <w:tbl>
      <w:tblPr>
        <w:tblStyle w:val="TableGrid"/>
        <w:tblW w:w="9340" w:type="dxa"/>
        <w:tblInd w:w="720" w:type="dxa"/>
        <w:tblLook w:val="04A0" w:firstRow="1" w:lastRow="0" w:firstColumn="1" w:lastColumn="0" w:noHBand="0" w:noVBand="1"/>
      </w:tblPr>
      <w:tblGrid>
        <w:gridCol w:w="9340"/>
      </w:tblGrid>
      <w:tr w:rsidR="002F0262">
        <w:tc>
          <w:tcPr>
            <w:tcW w:w="9340" w:type="dxa"/>
          </w:tcPr>
          <w:p w:rsidR="002F0262" w:rsidRDefault="00525FEF">
            <w:pPr>
              <w:ind w:left="84"/>
              <w:jc w:val="both"/>
              <w:rPr>
                <w:rFonts w:asciiTheme="minorHAnsi" w:hAnsiTheme="minorHAnsi" w:cstheme="minorHAnsi"/>
              </w:rPr>
            </w:pPr>
            <w:r>
              <w:rPr>
                <w:rFonts w:asciiTheme="minorHAnsi" w:hAnsiTheme="minorHAnsi" w:cstheme="minorHAnsi"/>
              </w:rPr>
              <w:t>The Head of Centre at Cardinal Langley RC High School is responsible for:</w:t>
            </w:r>
          </w:p>
          <w:p w:rsidR="002F0262" w:rsidRDefault="00525FEF">
            <w:pPr>
              <w:pStyle w:val="ListParagraph"/>
              <w:numPr>
                <w:ilvl w:val="0"/>
                <w:numId w:val="4"/>
              </w:numPr>
              <w:jc w:val="both"/>
              <w:rPr>
                <w:rFonts w:asciiTheme="minorHAnsi" w:hAnsiTheme="minorHAnsi" w:cstheme="minorHAnsi"/>
              </w:rPr>
            </w:pPr>
            <w:r>
              <w:rPr>
                <w:rFonts w:asciiTheme="minorHAnsi" w:hAnsiTheme="minorHAnsi" w:cstheme="minorHAnsi"/>
              </w:rPr>
              <w:t>the qua</w:t>
            </w:r>
            <w:r>
              <w:rPr>
                <w:rFonts w:asciiTheme="minorHAnsi" w:hAnsiTheme="minorHAnsi" w:cstheme="minorHAnsi"/>
              </w:rPr>
              <w:t>lity of the access arrangements process in school</w:t>
            </w:r>
          </w:p>
          <w:p w:rsidR="002F0262" w:rsidRDefault="00525FEF">
            <w:pPr>
              <w:pStyle w:val="ListParagraph"/>
              <w:numPr>
                <w:ilvl w:val="0"/>
                <w:numId w:val="4"/>
              </w:numPr>
              <w:jc w:val="both"/>
              <w:rPr>
                <w:rFonts w:asciiTheme="minorHAnsi" w:hAnsiTheme="minorHAnsi" w:cstheme="minorHAnsi"/>
              </w:rPr>
            </w:pPr>
            <w:r>
              <w:rPr>
                <w:rFonts w:asciiTheme="minorHAnsi" w:hAnsiTheme="minorHAnsi" w:cstheme="minorHAnsi"/>
              </w:rPr>
              <w:t>the appointment of assessors, and checking the qualifications of those assessing candidates</w:t>
            </w:r>
          </w:p>
          <w:p w:rsidR="002F0262" w:rsidRDefault="00525FEF">
            <w:pPr>
              <w:ind w:left="84"/>
              <w:jc w:val="both"/>
              <w:rPr>
                <w:rFonts w:asciiTheme="minorHAnsi" w:hAnsiTheme="minorHAnsi" w:cstheme="minorHAnsi"/>
              </w:rPr>
            </w:pPr>
            <w:r>
              <w:rPr>
                <w:rFonts w:asciiTheme="minorHAnsi" w:hAnsiTheme="minorHAnsi" w:cstheme="minorHAnsi"/>
              </w:rPr>
              <w:t>The Head of Centre will appoint:</w:t>
            </w:r>
          </w:p>
          <w:p w:rsidR="002F0262" w:rsidRDefault="00525FEF">
            <w:pPr>
              <w:pStyle w:val="ListParagraph"/>
              <w:numPr>
                <w:ilvl w:val="0"/>
                <w:numId w:val="5"/>
              </w:numPr>
              <w:jc w:val="both"/>
              <w:rPr>
                <w:rFonts w:asciiTheme="minorHAnsi" w:hAnsiTheme="minorHAnsi" w:cstheme="minorHAnsi"/>
              </w:rPr>
            </w:pPr>
            <w:r>
              <w:rPr>
                <w:rFonts w:asciiTheme="minorHAnsi" w:hAnsiTheme="minorHAnsi" w:cstheme="minorHAnsi"/>
              </w:rPr>
              <w:t>an assessor who has successfully completed a post-graduate course at or equivalen</w:t>
            </w:r>
            <w:r>
              <w:rPr>
                <w:rFonts w:asciiTheme="minorHAnsi" w:hAnsiTheme="minorHAnsi" w:cstheme="minorHAnsi"/>
              </w:rPr>
              <w:t xml:space="preserve">t to Level 7, including at least 100 hours relating to individual specialist assessment. This can include lecture, seminar and tutorial time, study time, assessment time and time spent completing assignments. </w:t>
            </w:r>
          </w:p>
          <w:p w:rsidR="002F0262" w:rsidRDefault="00525FEF">
            <w:pPr>
              <w:pStyle w:val="ListParagraph"/>
              <w:numPr>
                <w:ilvl w:val="0"/>
                <w:numId w:val="5"/>
              </w:numPr>
              <w:jc w:val="both"/>
              <w:rPr>
                <w:rFonts w:asciiTheme="minorHAnsi" w:hAnsiTheme="minorHAnsi" w:cstheme="minorHAnsi"/>
              </w:rPr>
            </w:pPr>
            <w:r>
              <w:rPr>
                <w:rFonts w:asciiTheme="minorHAnsi" w:hAnsiTheme="minorHAnsi" w:cstheme="minorHAnsi"/>
              </w:rPr>
              <w:t xml:space="preserve">a specialist assessor with a current </w:t>
            </w:r>
            <w:proofErr w:type="spellStart"/>
            <w:r>
              <w:rPr>
                <w:rFonts w:asciiTheme="minorHAnsi" w:hAnsiTheme="minorHAnsi" w:cstheme="minorHAnsi"/>
              </w:rPr>
              <w:t>SpLD</w:t>
            </w:r>
            <w:proofErr w:type="spellEnd"/>
            <w:r>
              <w:rPr>
                <w:rFonts w:asciiTheme="minorHAnsi" w:hAnsiTheme="minorHAnsi" w:cstheme="minorHAnsi"/>
              </w:rPr>
              <w:t xml:space="preserve"> Asse</w:t>
            </w:r>
            <w:r>
              <w:rPr>
                <w:rFonts w:asciiTheme="minorHAnsi" w:hAnsiTheme="minorHAnsi" w:cstheme="minorHAnsi"/>
              </w:rPr>
              <w:t xml:space="preserve">ssment Practising Certificate as awarded by BDA, the Dyslexia Guild or </w:t>
            </w:r>
            <w:proofErr w:type="spellStart"/>
            <w:r>
              <w:rPr>
                <w:rFonts w:asciiTheme="minorHAnsi" w:hAnsiTheme="minorHAnsi" w:cstheme="minorHAnsi"/>
              </w:rPr>
              <w:t>Patoss</w:t>
            </w:r>
            <w:proofErr w:type="spellEnd"/>
            <w:r>
              <w:rPr>
                <w:rFonts w:asciiTheme="minorHAnsi" w:hAnsiTheme="minorHAnsi" w:cstheme="minorHAnsi"/>
              </w:rPr>
              <w:t xml:space="preserve"> and listed on the SASC website.</w:t>
            </w:r>
          </w:p>
          <w:p w:rsidR="002F0262" w:rsidRDefault="00525FEF">
            <w:pPr>
              <w:pStyle w:val="ListParagraph"/>
              <w:numPr>
                <w:ilvl w:val="0"/>
                <w:numId w:val="5"/>
              </w:numPr>
              <w:jc w:val="both"/>
              <w:rPr>
                <w:rFonts w:asciiTheme="minorHAnsi" w:hAnsiTheme="minorHAnsi" w:cstheme="minorHAnsi"/>
              </w:rPr>
            </w:pPr>
            <w:r>
              <w:rPr>
                <w:rFonts w:asciiTheme="minorHAnsi" w:hAnsiTheme="minorHAnsi" w:cstheme="minorHAnsi"/>
              </w:rPr>
              <w:t>an appropriately qualified psychologist registered with the Health &amp; Care Professions Council.</w:t>
            </w:r>
          </w:p>
        </w:tc>
      </w:tr>
    </w:tbl>
    <w:p w:rsidR="002F0262" w:rsidRDefault="00525FEF">
      <w:pPr>
        <w:rPr>
          <w:rFonts w:asciiTheme="minorHAnsi" w:hAnsiTheme="minorHAnsi" w:cstheme="minorHAnsi"/>
          <w:b/>
          <w:szCs w:val="24"/>
        </w:rPr>
      </w:pPr>
      <w:bookmarkStart w:id="64" w:name="_Toc466921633"/>
      <w:bookmarkStart w:id="65" w:name="_Toc490083858"/>
      <w:bookmarkStart w:id="66" w:name="_Toc496088797"/>
      <w:r>
        <w:rPr>
          <w:rFonts w:asciiTheme="minorHAnsi" w:hAnsiTheme="minorHAnsi" w:cstheme="minorHAnsi"/>
          <w:b/>
          <w:szCs w:val="24"/>
        </w:rPr>
        <w:t>Reporting the appointment of the assessor(s)</w:t>
      </w:r>
    </w:p>
    <w:tbl>
      <w:tblPr>
        <w:tblStyle w:val="TableGrid"/>
        <w:tblW w:w="9340" w:type="dxa"/>
        <w:tblInd w:w="720" w:type="dxa"/>
        <w:tblLook w:val="04A0" w:firstRow="1" w:lastRow="0" w:firstColumn="1" w:lastColumn="0" w:noHBand="0" w:noVBand="1"/>
      </w:tblPr>
      <w:tblGrid>
        <w:gridCol w:w="9340"/>
      </w:tblGrid>
      <w:tr w:rsidR="002F0262">
        <w:tc>
          <w:tcPr>
            <w:tcW w:w="9340" w:type="dxa"/>
          </w:tcPr>
          <w:p w:rsidR="002F0262" w:rsidRDefault="00525FEF">
            <w:pPr>
              <w:rPr>
                <w:rFonts w:asciiTheme="minorHAnsi" w:hAnsiTheme="minorHAnsi" w:cstheme="minorHAnsi"/>
              </w:rPr>
            </w:pPr>
            <w:r>
              <w:rPr>
                <w:rFonts w:asciiTheme="minorHAnsi" w:hAnsiTheme="minorHAnsi" w:cstheme="minorHAnsi"/>
              </w:rPr>
              <w:t>The c</w:t>
            </w:r>
            <w:r>
              <w:rPr>
                <w:rFonts w:asciiTheme="minorHAnsi" w:hAnsiTheme="minorHAnsi" w:cstheme="minorHAnsi"/>
              </w:rPr>
              <w:t>redentials of assessors used by the school will be held on file in the Additional Needs Department.</w:t>
            </w:r>
          </w:p>
        </w:tc>
      </w:tr>
    </w:tbl>
    <w:p w:rsidR="002F0262" w:rsidRDefault="00525FEF">
      <w:pPr>
        <w:pStyle w:val="Headinglevel2"/>
        <w:spacing w:before="240" w:after="120" w:line="276" w:lineRule="auto"/>
        <w:rPr>
          <w:rFonts w:asciiTheme="minorHAnsi" w:hAnsiTheme="minorHAnsi" w:cstheme="minorHAnsi"/>
          <w:color w:val="auto"/>
        </w:rPr>
      </w:pPr>
      <w:bookmarkStart w:id="67" w:name="_Toc523473888"/>
      <w:bookmarkStart w:id="68" w:name="_Toc22304704"/>
      <w:bookmarkStart w:id="69" w:name="_Toc22487032"/>
      <w:bookmarkStart w:id="70" w:name="_Toc22487151"/>
      <w:bookmarkStart w:id="71" w:name="_Toc22487626"/>
      <w:r>
        <w:rPr>
          <w:rFonts w:asciiTheme="minorHAnsi" w:hAnsiTheme="minorHAnsi" w:cstheme="minorHAnsi"/>
          <w:color w:val="auto"/>
        </w:rPr>
        <w:t>Process for the assessment of a candidate’s learning difficulties by an assessor</w:t>
      </w:r>
      <w:bookmarkEnd w:id="67"/>
      <w:bookmarkEnd w:id="68"/>
      <w:bookmarkEnd w:id="69"/>
      <w:bookmarkEnd w:id="70"/>
      <w:bookmarkEnd w:id="71"/>
      <w:r>
        <w:rPr>
          <w:rFonts w:asciiTheme="minorHAnsi" w:hAnsiTheme="minorHAnsi" w:cstheme="minorHAnsi"/>
          <w:color w:val="auto"/>
        </w:rPr>
        <w:t xml:space="preserve"> </w:t>
      </w:r>
    </w:p>
    <w:tbl>
      <w:tblPr>
        <w:tblStyle w:val="TableGrid"/>
        <w:tblW w:w="0" w:type="auto"/>
        <w:tblInd w:w="720" w:type="dxa"/>
        <w:tblLook w:val="04A0" w:firstRow="1" w:lastRow="0" w:firstColumn="1" w:lastColumn="0" w:noHBand="0" w:noVBand="1"/>
      </w:tblPr>
      <w:tblGrid>
        <w:gridCol w:w="9322"/>
      </w:tblGrid>
      <w:tr w:rsidR="002F0262">
        <w:tc>
          <w:tcPr>
            <w:tcW w:w="9548" w:type="dxa"/>
          </w:tcPr>
          <w:p w:rsidR="002F0262" w:rsidRDefault="00525FEF">
            <w:pPr>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Where a candidate has learning difficulties and is not subject to a current </w:t>
            </w:r>
            <w:r>
              <w:rPr>
                <w:rFonts w:asciiTheme="minorHAnsi" w:eastAsia="Times New Roman" w:hAnsiTheme="minorHAnsi" w:cstheme="minorHAnsi"/>
                <w:i/>
              </w:rPr>
              <w:t>Education, Health and Care Plan</w:t>
            </w:r>
            <w:r>
              <w:rPr>
                <w:rFonts w:asciiTheme="minorHAnsi" w:eastAsia="Times New Roman" w:hAnsiTheme="minorHAnsi" w:cstheme="minorHAnsi"/>
              </w:rPr>
              <w:t xml:space="preserve"> or </w:t>
            </w:r>
            <w:r>
              <w:rPr>
                <w:rFonts w:asciiTheme="minorHAnsi" w:eastAsia="Times New Roman" w:hAnsiTheme="minorHAnsi" w:cstheme="minorHAnsi"/>
                <w:i/>
              </w:rPr>
              <w:t>Statement of Special Educational Needs</w:t>
            </w:r>
            <w:r>
              <w:rPr>
                <w:rFonts w:asciiTheme="minorHAnsi" w:eastAsia="Times New Roman" w:hAnsiTheme="minorHAnsi" w:cstheme="minorHAnsi"/>
              </w:rPr>
              <w:t xml:space="preserve"> the </w:t>
            </w:r>
            <w:proofErr w:type="spellStart"/>
            <w:r>
              <w:rPr>
                <w:rFonts w:asciiTheme="minorHAnsi" w:eastAsia="Times New Roman" w:hAnsiTheme="minorHAnsi" w:cstheme="minorHAnsi"/>
              </w:rPr>
              <w:t>SENDCo</w:t>
            </w:r>
            <w:proofErr w:type="spellEnd"/>
            <w:r>
              <w:rPr>
                <w:rFonts w:asciiTheme="minorHAnsi" w:eastAsia="Times New Roman" w:hAnsiTheme="minorHAnsi" w:cstheme="minorHAnsi"/>
              </w:rPr>
              <w:t xml:space="preserve"> will paint a picture of need and demonstrate the candidate’s normal way of working and complete Part 1 of Form 8 prior to the candidate being assessed.</w:t>
            </w:r>
          </w:p>
          <w:p w:rsidR="002F0262" w:rsidRDefault="00525FEF">
            <w:pPr>
              <w:spacing w:line="276" w:lineRule="auto"/>
              <w:jc w:val="both"/>
              <w:rPr>
                <w:rFonts w:asciiTheme="minorHAnsi" w:eastAsia="Times New Roman" w:hAnsiTheme="minorHAnsi" w:cstheme="minorHAnsi"/>
              </w:rPr>
            </w:pPr>
            <w:r>
              <w:rPr>
                <w:rFonts w:asciiTheme="minorHAnsi" w:eastAsia="Times New Roman" w:hAnsiTheme="minorHAnsi" w:cstheme="minorHAnsi"/>
              </w:rPr>
              <w:t>All candidates will be assessed in light of the picture of need and relevant background information.</w:t>
            </w:r>
          </w:p>
          <w:p w:rsidR="002F0262" w:rsidRDefault="00525FEF">
            <w:pPr>
              <w:spacing w:line="276" w:lineRule="auto"/>
              <w:jc w:val="both"/>
              <w:rPr>
                <w:rFonts w:asciiTheme="minorHAnsi" w:eastAsia="Times New Roman" w:hAnsiTheme="minorHAnsi" w:cstheme="minorHAnsi"/>
              </w:rPr>
            </w:pPr>
            <w:r>
              <w:rPr>
                <w:rFonts w:asciiTheme="minorHAnsi" w:eastAsia="Times New Roman" w:hAnsiTheme="minorHAnsi" w:cstheme="minorHAnsi"/>
              </w:rPr>
              <w:t>Th</w:t>
            </w:r>
            <w:r>
              <w:rPr>
                <w:rFonts w:asciiTheme="minorHAnsi" w:eastAsia="Times New Roman" w:hAnsiTheme="minorHAnsi" w:cstheme="minorHAnsi"/>
              </w:rPr>
              <w:t xml:space="preserve">e assessor will establish if the results of tests in literacy and/or cognitive abilities present evidence that the candidate has an impairment which </w:t>
            </w:r>
            <w:r>
              <w:rPr>
                <w:rFonts w:asciiTheme="minorHAnsi" w:eastAsia="Times New Roman" w:hAnsiTheme="minorHAnsi" w:cstheme="minorHAnsi"/>
                <w:b/>
              </w:rPr>
              <w:t xml:space="preserve">substantially </w:t>
            </w:r>
            <w:r>
              <w:rPr>
                <w:rFonts w:asciiTheme="minorHAnsi" w:eastAsia="Times New Roman" w:hAnsiTheme="minorHAnsi" w:cstheme="minorHAnsi"/>
              </w:rPr>
              <w:t>affects their performance.</w:t>
            </w:r>
          </w:p>
          <w:p w:rsidR="002F0262" w:rsidRDefault="00525FEF">
            <w:pPr>
              <w:spacing w:line="276" w:lineRule="auto"/>
              <w:jc w:val="both"/>
              <w:rPr>
                <w:rFonts w:asciiTheme="minorHAnsi" w:eastAsia="Times New Roman" w:hAnsiTheme="minorHAnsi" w:cstheme="minorHAnsi"/>
              </w:rPr>
            </w:pPr>
            <w:r>
              <w:rPr>
                <w:rFonts w:asciiTheme="minorHAnsi" w:eastAsia="Times New Roman" w:hAnsiTheme="minorHAnsi" w:cstheme="minorHAnsi"/>
              </w:rPr>
              <w:t>The assessor will carry out tests which are relevant to support th</w:t>
            </w:r>
            <w:r>
              <w:rPr>
                <w:rFonts w:asciiTheme="minorHAnsi" w:eastAsia="Times New Roman" w:hAnsiTheme="minorHAnsi" w:cstheme="minorHAnsi"/>
              </w:rPr>
              <w:t>e application. Current editions of nationally standardised tests which produce standardised scores will be used, where published.</w:t>
            </w:r>
          </w:p>
          <w:p w:rsidR="002F0262" w:rsidRDefault="00525FEF">
            <w:pPr>
              <w:spacing w:line="276" w:lineRule="auto"/>
              <w:jc w:val="both"/>
              <w:rPr>
                <w:rFonts w:asciiTheme="minorHAnsi" w:eastAsia="Times New Roman" w:hAnsiTheme="minorHAnsi" w:cstheme="minorHAnsi"/>
              </w:rPr>
            </w:pPr>
            <w:r>
              <w:rPr>
                <w:rFonts w:asciiTheme="minorHAnsi" w:eastAsia="Times New Roman" w:hAnsiTheme="minorHAnsi" w:cstheme="minorHAnsi"/>
              </w:rPr>
              <w:t>For candidates potentially requiring a Language Modifier reading comprehension will be assessed using a recognised test of tex</w:t>
            </w:r>
            <w:r>
              <w:rPr>
                <w:rFonts w:asciiTheme="minorHAnsi" w:eastAsia="Times New Roman" w:hAnsiTheme="minorHAnsi" w:cstheme="minorHAnsi"/>
              </w:rPr>
              <w:t>t or sentence comprehension.</w:t>
            </w:r>
          </w:p>
          <w:p w:rsidR="002F0262" w:rsidRDefault="00525FEF">
            <w:pPr>
              <w:spacing w:line="276" w:lineRule="auto"/>
              <w:jc w:val="both"/>
              <w:rPr>
                <w:rFonts w:asciiTheme="minorHAnsi" w:eastAsia="Times New Roman" w:hAnsiTheme="minorHAnsi" w:cstheme="minorHAnsi"/>
              </w:rPr>
            </w:pPr>
            <w:r>
              <w:rPr>
                <w:rFonts w:asciiTheme="minorHAnsi" w:eastAsia="Times New Roman" w:hAnsiTheme="minorHAnsi" w:cstheme="minorHAnsi"/>
              </w:rPr>
              <w:t>Reading speed will be tested in various ways depending on the individual candidate.</w:t>
            </w:r>
          </w:p>
          <w:p w:rsidR="002F0262" w:rsidRDefault="00525FEF">
            <w:pPr>
              <w:spacing w:line="276" w:lineRule="auto"/>
              <w:jc w:val="both"/>
              <w:rPr>
                <w:rFonts w:asciiTheme="minorHAnsi" w:eastAsia="Times New Roman" w:hAnsiTheme="minorHAnsi" w:cstheme="minorHAnsi"/>
              </w:rPr>
            </w:pPr>
            <w:r>
              <w:rPr>
                <w:rFonts w:asciiTheme="minorHAnsi" w:eastAsia="Times New Roman" w:hAnsiTheme="minorHAnsi" w:cstheme="minorHAnsi"/>
              </w:rPr>
              <w:t>Candidates will be allowed the use of a scribe where they have a substantial impairment:</w:t>
            </w:r>
          </w:p>
          <w:p w:rsidR="002F0262" w:rsidRDefault="00525FEF">
            <w:pPr>
              <w:pStyle w:val="ListParagraph"/>
              <w:numPr>
                <w:ilvl w:val="0"/>
                <w:numId w:val="6"/>
              </w:numPr>
              <w:spacing w:line="276" w:lineRule="auto"/>
              <w:jc w:val="both"/>
              <w:rPr>
                <w:rFonts w:asciiTheme="minorHAnsi" w:eastAsia="Times New Roman" w:hAnsiTheme="minorHAnsi" w:cstheme="minorHAnsi"/>
              </w:rPr>
            </w:pPr>
            <w:r>
              <w:rPr>
                <w:rFonts w:asciiTheme="minorHAnsi" w:eastAsia="Times New Roman" w:hAnsiTheme="minorHAnsi" w:cstheme="minorHAnsi"/>
              </w:rPr>
              <w:lastRenderedPageBreak/>
              <w:t>a below average standardised spelling accuracy score w</w:t>
            </w:r>
            <w:r>
              <w:rPr>
                <w:rFonts w:asciiTheme="minorHAnsi" w:eastAsia="Times New Roman" w:hAnsiTheme="minorHAnsi" w:cstheme="minorHAnsi"/>
              </w:rPr>
              <w:t>ith unrecognisable spelling attempts; or</w:t>
            </w:r>
          </w:p>
          <w:p w:rsidR="002F0262" w:rsidRDefault="00525FEF">
            <w:pPr>
              <w:pStyle w:val="ListParagraph"/>
              <w:numPr>
                <w:ilvl w:val="0"/>
                <w:numId w:val="6"/>
              </w:numPr>
              <w:spacing w:line="276" w:lineRule="auto"/>
              <w:jc w:val="both"/>
              <w:rPr>
                <w:rFonts w:asciiTheme="minorHAnsi" w:eastAsia="Times New Roman" w:hAnsiTheme="minorHAnsi" w:cstheme="minorHAnsi"/>
              </w:rPr>
            </w:pPr>
            <w:r>
              <w:rPr>
                <w:rFonts w:asciiTheme="minorHAnsi" w:eastAsia="Times New Roman" w:hAnsiTheme="minorHAnsi" w:cstheme="minorHAnsi"/>
              </w:rPr>
              <w:t>a below average standardised score for writing speed.</w:t>
            </w:r>
          </w:p>
          <w:p w:rsidR="002F0262" w:rsidRDefault="00525FEF">
            <w:pPr>
              <w:spacing w:line="276" w:lineRule="auto"/>
              <w:jc w:val="both"/>
              <w:rPr>
                <w:rFonts w:asciiTheme="minorHAnsi" w:eastAsia="Times New Roman" w:hAnsiTheme="minorHAnsi" w:cstheme="minorHAnsi"/>
              </w:rPr>
            </w:pPr>
            <w:r>
              <w:rPr>
                <w:rFonts w:asciiTheme="minorHAnsi" w:eastAsia="Times New Roman" w:hAnsiTheme="minorHAnsi" w:cstheme="minorHAnsi"/>
              </w:rPr>
              <w:t>Cognitive processing assessments will include a range of assessments as determined appropriate for the candidate by the assessor.</w:t>
            </w:r>
          </w:p>
        </w:tc>
      </w:tr>
    </w:tbl>
    <w:p w:rsidR="002F0262" w:rsidRDefault="00525FEF">
      <w:pPr>
        <w:pStyle w:val="Headinglevel2"/>
        <w:spacing w:before="240" w:after="120" w:line="276" w:lineRule="auto"/>
        <w:rPr>
          <w:rFonts w:asciiTheme="minorHAnsi" w:hAnsiTheme="minorHAnsi" w:cstheme="minorHAnsi"/>
          <w:color w:val="auto"/>
        </w:rPr>
      </w:pPr>
      <w:bookmarkStart w:id="72" w:name="_Toc443593728"/>
      <w:bookmarkStart w:id="73" w:name="_Toc466921635"/>
      <w:bookmarkStart w:id="74" w:name="_Toc490083860"/>
      <w:bookmarkStart w:id="75" w:name="_Toc496088799"/>
      <w:bookmarkStart w:id="76" w:name="_Toc523473889"/>
      <w:bookmarkStart w:id="77" w:name="_Toc22304705"/>
      <w:bookmarkStart w:id="78" w:name="_Toc22487033"/>
      <w:bookmarkStart w:id="79" w:name="_Toc22487152"/>
      <w:bookmarkStart w:id="80" w:name="_Toc22487627"/>
      <w:bookmarkEnd w:id="64"/>
      <w:bookmarkEnd w:id="65"/>
      <w:bookmarkEnd w:id="66"/>
      <w:r>
        <w:rPr>
          <w:rFonts w:asciiTheme="minorHAnsi" w:hAnsiTheme="minorHAnsi" w:cstheme="minorHAnsi"/>
          <w:color w:val="auto"/>
        </w:rPr>
        <w:lastRenderedPageBreak/>
        <w:t xml:space="preserve">Painting a </w:t>
      </w:r>
      <w:r>
        <w:rPr>
          <w:rFonts w:asciiTheme="minorHAnsi" w:hAnsiTheme="minorHAnsi" w:cstheme="minorHAnsi"/>
          <w:i/>
          <w:color w:val="auto"/>
        </w:rPr>
        <w:t>picture of need</w:t>
      </w:r>
      <w:r>
        <w:rPr>
          <w:rFonts w:asciiTheme="minorHAnsi" w:hAnsiTheme="minorHAnsi" w:cstheme="minorHAnsi"/>
          <w:color w:val="auto"/>
        </w:rPr>
        <w:t xml:space="preserve"> and</w:t>
      </w:r>
      <w:r>
        <w:rPr>
          <w:rFonts w:asciiTheme="minorHAnsi" w:hAnsiTheme="minorHAnsi" w:cstheme="minorHAnsi"/>
          <w:color w:val="auto"/>
        </w:rPr>
        <w:t xml:space="preserve"> gathering evidence to demonstrate </w:t>
      </w:r>
      <w:r>
        <w:rPr>
          <w:rFonts w:asciiTheme="minorHAnsi" w:hAnsiTheme="minorHAnsi" w:cstheme="minorHAnsi"/>
          <w:i/>
          <w:color w:val="auto"/>
        </w:rPr>
        <w:t>normal way of working</w:t>
      </w:r>
      <w:bookmarkEnd w:id="72"/>
      <w:bookmarkEnd w:id="73"/>
      <w:bookmarkEnd w:id="74"/>
      <w:bookmarkEnd w:id="75"/>
      <w:bookmarkEnd w:id="76"/>
      <w:bookmarkEnd w:id="77"/>
      <w:bookmarkEnd w:id="78"/>
      <w:bookmarkEnd w:id="79"/>
      <w:bookmarkEnd w:id="80"/>
    </w:p>
    <w:tbl>
      <w:tblPr>
        <w:tblStyle w:val="TableGrid"/>
        <w:tblW w:w="0" w:type="auto"/>
        <w:tblInd w:w="675" w:type="dxa"/>
        <w:tblLook w:val="04A0" w:firstRow="1" w:lastRow="0" w:firstColumn="1" w:lastColumn="0" w:noHBand="0" w:noVBand="1"/>
      </w:tblPr>
      <w:tblGrid>
        <w:gridCol w:w="9367"/>
      </w:tblGrid>
      <w:tr w:rsidR="002F0262">
        <w:tc>
          <w:tcPr>
            <w:tcW w:w="10161" w:type="dxa"/>
          </w:tcPr>
          <w:p w:rsidR="002F0262" w:rsidRDefault="00525FEF">
            <w:pPr>
              <w:autoSpaceDE w:val="0"/>
              <w:autoSpaceDN w:val="0"/>
              <w:adjustRightInd w:val="0"/>
              <w:spacing w:line="276" w:lineRule="auto"/>
              <w:rPr>
                <w:rFonts w:asciiTheme="minorHAnsi" w:hAnsiTheme="minorHAnsi" w:cstheme="minorHAnsi"/>
                <w:b/>
                <w:bCs/>
              </w:rPr>
            </w:pPr>
            <w:r>
              <w:rPr>
                <w:rFonts w:asciiTheme="minorHAnsi" w:hAnsiTheme="minorHAnsi" w:cstheme="minorHAnsi"/>
              </w:rPr>
              <w:t xml:space="preserve">The </w:t>
            </w:r>
            <w:proofErr w:type="spellStart"/>
            <w:r>
              <w:rPr>
                <w:rFonts w:asciiTheme="minorHAnsi" w:hAnsiTheme="minorHAnsi" w:cstheme="minorHAnsi"/>
              </w:rPr>
              <w:t>SENDCo</w:t>
            </w:r>
            <w:proofErr w:type="spellEnd"/>
            <w:r>
              <w:rPr>
                <w:rFonts w:asciiTheme="minorHAnsi" w:hAnsiTheme="minorHAnsi" w:cstheme="minorHAnsi"/>
              </w:rPr>
              <w:t xml:space="preserve"> will work closely with Heads of Departments, subject teachers</w:t>
            </w:r>
            <w:r>
              <w:rPr>
                <w:rFonts w:asciiTheme="minorHAnsi" w:hAnsiTheme="minorHAnsi" w:cstheme="minorHAnsi"/>
                <w:b/>
                <w:bCs/>
              </w:rPr>
              <w:t xml:space="preserve">, </w:t>
            </w:r>
            <w:r>
              <w:rPr>
                <w:rFonts w:asciiTheme="minorHAnsi" w:hAnsiTheme="minorHAnsi" w:cstheme="minorHAnsi"/>
                <w:bCs/>
              </w:rPr>
              <w:t>Heads of Year</w:t>
            </w:r>
            <w:r>
              <w:rPr>
                <w:rFonts w:asciiTheme="minorHAnsi" w:hAnsiTheme="minorHAnsi" w:cstheme="minorHAnsi"/>
                <w:b/>
                <w:bCs/>
              </w:rPr>
              <w:t xml:space="preserve">, </w:t>
            </w:r>
            <w:r>
              <w:rPr>
                <w:rFonts w:asciiTheme="minorHAnsi" w:hAnsiTheme="minorHAnsi" w:cstheme="minorHAnsi"/>
                <w:bCs/>
              </w:rPr>
              <w:t>teaching assistants and other centre staff to gather information to paint a picture of need for candidates. St</w:t>
            </w:r>
            <w:r>
              <w:rPr>
                <w:rFonts w:asciiTheme="minorHAnsi" w:hAnsiTheme="minorHAnsi" w:cstheme="minorHAnsi"/>
                <w:bCs/>
              </w:rPr>
              <w:t xml:space="preserve">atements regarding the candidate’s normal way of working in the classroom and in internal assessments will be held on file. </w:t>
            </w:r>
            <w:r>
              <w:rPr>
                <w:rFonts w:asciiTheme="minorHAnsi" w:hAnsiTheme="minorHAnsi" w:cstheme="minorHAnsi"/>
                <w:b/>
                <w:bCs/>
              </w:rPr>
              <w:t xml:space="preserve">                  </w:t>
            </w:r>
          </w:p>
        </w:tc>
      </w:tr>
    </w:tbl>
    <w:p w:rsidR="002F0262" w:rsidRDefault="00525FEF">
      <w:pPr>
        <w:pStyle w:val="Headinglevel1"/>
        <w:spacing w:before="240"/>
        <w:rPr>
          <w:rFonts w:asciiTheme="minorHAnsi" w:hAnsiTheme="minorHAnsi" w:cstheme="minorHAnsi"/>
        </w:rPr>
      </w:pPr>
      <w:bookmarkStart w:id="81" w:name="_Toc466921636"/>
      <w:bookmarkStart w:id="82" w:name="_Toc490083861"/>
      <w:bookmarkStart w:id="83" w:name="_Toc496088800"/>
      <w:bookmarkStart w:id="84" w:name="_Toc523473890"/>
      <w:bookmarkStart w:id="85" w:name="_Toc22304706"/>
      <w:bookmarkStart w:id="86" w:name="_Toc22487034"/>
      <w:bookmarkStart w:id="87" w:name="_Toc22487153"/>
      <w:bookmarkStart w:id="88" w:name="_Toc22487628"/>
      <w:r>
        <w:rPr>
          <w:rFonts w:asciiTheme="minorHAnsi" w:hAnsiTheme="minorHAnsi" w:cstheme="minorHAnsi"/>
        </w:rPr>
        <w:t>Processing access arrangements</w:t>
      </w:r>
      <w:bookmarkEnd w:id="81"/>
      <w:bookmarkEnd w:id="82"/>
      <w:bookmarkEnd w:id="83"/>
      <w:bookmarkEnd w:id="84"/>
      <w:bookmarkEnd w:id="85"/>
      <w:bookmarkEnd w:id="86"/>
      <w:bookmarkEnd w:id="87"/>
      <w:bookmarkEnd w:id="88"/>
    </w:p>
    <w:p w:rsidR="002F0262" w:rsidRDefault="00525FEF">
      <w:pPr>
        <w:pStyle w:val="Headinglevel2"/>
        <w:spacing w:before="0"/>
        <w:rPr>
          <w:rFonts w:asciiTheme="minorHAnsi" w:hAnsiTheme="minorHAnsi" w:cstheme="minorHAnsi"/>
          <w:color w:val="auto"/>
        </w:rPr>
      </w:pPr>
      <w:bookmarkStart w:id="89" w:name="_Toc496088801"/>
      <w:bookmarkStart w:id="90" w:name="_Toc523473891"/>
      <w:bookmarkStart w:id="91" w:name="_Toc22304707"/>
      <w:bookmarkStart w:id="92" w:name="_Toc22487035"/>
      <w:bookmarkStart w:id="93" w:name="_Toc22487154"/>
      <w:bookmarkStart w:id="94" w:name="_Toc22487629"/>
      <w:r>
        <w:rPr>
          <w:rFonts w:asciiTheme="minorHAnsi" w:hAnsiTheme="minorHAnsi" w:cstheme="minorHAnsi"/>
          <w:color w:val="auto"/>
        </w:rPr>
        <w:t>Arrangements requiring awarding body approval</w:t>
      </w:r>
      <w:bookmarkEnd w:id="89"/>
      <w:bookmarkEnd w:id="90"/>
      <w:bookmarkEnd w:id="91"/>
      <w:bookmarkEnd w:id="92"/>
      <w:bookmarkEnd w:id="93"/>
      <w:bookmarkEnd w:id="94"/>
    </w:p>
    <w:p w:rsidR="002F0262" w:rsidRDefault="00525FEF">
      <w:pPr>
        <w:autoSpaceDE w:val="0"/>
        <w:autoSpaceDN w:val="0"/>
        <w:adjustRightInd w:val="0"/>
        <w:spacing w:line="276" w:lineRule="auto"/>
        <w:jc w:val="both"/>
        <w:rPr>
          <w:rFonts w:asciiTheme="minorHAnsi" w:hAnsiTheme="minorHAnsi" w:cstheme="minorHAnsi"/>
          <w:szCs w:val="24"/>
        </w:rPr>
      </w:pPr>
      <w:r>
        <w:rPr>
          <w:rFonts w:asciiTheme="minorHAnsi" w:hAnsiTheme="minorHAnsi" w:cstheme="minorHAnsi"/>
          <w:b/>
          <w:bCs/>
          <w:iCs/>
          <w:szCs w:val="24"/>
        </w:rPr>
        <w:t>Access arrangements online</w:t>
      </w:r>
      <w:r>
        <w:rPr>
          <w:rFonts w:asciiTheme="minorHAnsi" w:hAnsiTheme="minorHAnsi" w:cstheme="minorHAnsi"/>
          <w:szCs w:val="24"/>
        </w:rPr>
        <w:t xml:space="preserve"> (AAO) is a tool provided by JCQ member awarding bodies for centres to apply for required access arrangement approval for the qualifications listed on page 2 of </w:t>
      </w:r>
      <w:hyperlink r:id="rId16" w:history="1">
        <w:r>
          <w:rPr>
            <w:rStyle w:val="Hyperlink"/>
            <w:rFonts w:asciiTheme="minorHAnsi" w:hAnsiTheme="minorHAnsi" w:cstheme="minorHAnsi"/>
            <w:szCs w:val="24"/>
          </w:rPr>
          <w:t>AA</w:t>
        </w:r>
      </w:hyperlink>
      <w:r>
        <w:rPr>
          <w:rFonts w:asciiTheme="minorHAnsi" w:hAnsiTheme="minorHAnsi" w:cstheme="minorHAnsi"/>
          <w:szCs w:val="24"/>
        </w:rPr>
        <w:t>. This tool also provides the facility to order modified papers for those qualifications listed on page 74.</w:t>
      </w:r>
    </w:p>
    <w:p w:rsidR="002F0262" w:rsidRDefault="00525FEF">
      <w:pPr>
        <w:autoSpaceDE w:val="0"/>
        <w:autoSpaceDN w:val="0"/>
        <w:adjustRightInd w:val="0"/>
        <w:spacing w:line="276" w:lineRule="auto"/>
        <w:jc w:val="both"/>
        <w:rPr>
          <w:rFonts w:asciiTheme="minorHAnsi" w:hAnsiTheme="minorHAnsi" w:cstheme="minorHAnsi"/>
          <w:szCs w:val="24"/>
        </w:rPr>
      </w:pPr>
      <w:r>
        <w:rPr>
          <w:rFonts w:asciiTheme="minorHAnsi" w:hAnsiTheme="minorHAnsi" w:cstheme="minorHAnsi"/>
          <w:szCs w:val="24"/>
        </w:rPr>
        <w:t>AAO is accessed within the JCQ Centre Admin Portal (CAP) by logging in to one of the awarding body secure extranet site</w:t>
      </w:r>
      <w:r>
        <w:rPr>
          <w:rFonts w:asciiTheme="minorHAnsi" w:hAnsiTheme="minorHAnsi" w:cstheme="minorHAnsi"/>
          <w:szCs w:val="24"/>
        </w:rPr>
        <w:t xml:space="preserve">s. A single application is required for each candidate regardless of the awarding body used. </w:t>
      </w:r>
    </w:p>
    <w:tbl>
      <w:tblPr>
        <w:tblStyle w:val="TableGrid"/>
        <w:tblW w:w="0" w:type="auto"/>
        <w:tblInd w:w="720" w:type="dxa"/>
        <w:tblLook w:val="04A0" w:firstRow="1" w:lastRow="0" w:firstColumn="1" w:lastColumn="0" w:noHBand="0" w:noVBand="1"/>
      </w:tblPr>
      <w:tblGrid>
        <w:gridCol w:w="9322"/>
      </w:tblGrid>
      <w:tr w:rsidR="002F0262">
        <w:tc>
          <w:tcPr>
            <w:tcW w:w="10836" w:type="dxa"/>
          </w:tcPr>
          <w:p w:rsidR="002F0262" w:rsidRDefault="00525FEF">
            <w:pPr>
              <w:spacing w:line="276" w:lineRule="auto"/>
              <w:rPr>
                <w:rFonts w:asciiTheme="minorHAnsi" w:hAnsiTheme="minorHAnsi" w:cstheme="minorHAnsi"/>
              </w:rPr>
            </w:pPr>
            <w:r>
              <w:rPr>
                <w:rFonts w:asciiTheme="minorHAnsi" w:hAnsiTheme="minorHAnsi" w:cstheme="minorHAnsi"/>
              </w:rPr>
              <w:t xml:space="preserve">Applications will be processed for both long-term and temporary conditions. </w:t>
            </w:r>
          </w:p>
          <w:p w:rsidR="002F0262" w:rsidRDefault="00525FEF">
            <w:pPr>
              <w:spacing w:line="276" w:lineRule="auto"/>
              <w:rPr>
                <w:rFonts w:asciiTheme="minorHAnsi" w:hAnsiTheme="minorHAnsi" w:cstheme="minorHAnsi"/>
                <w:b/>
                <w:bCs/>
              </w:rPr>
            </w:pPr>
            <w:r>
              <w:rPr>
                <w:rFonts w:asciiTheme="minorHAnsi" w:hAnsiTheme="minorHAnsi" w:cstheme="minorHAnsi"/>
              </w:rPr>
              <w:t>The approval will be filed alongside the candidate’s EHCP/Statement of Special Educat</w:t>
            </w:r>
            <w:r>
              <w:rPr>
                <w:rFonts w:asciiTheme="minorHAnsi" w:hAnsiTheme="minorHAnsi" w:cstheme="minorHAnsi"/>
              </w:rPr>
              <w:t xml:space="preserve">ional Needs, the form 8 where appropriate, any statements gathered to evidence the candidate’s normal way of working, and the signed and dated </w:t>
            </w:r>
            <w:r>
              <w:rPr>
                <w:rFonts w:asciiTheme="minorHAnsi" w:hAnsiTheme="minorHAnsi" w:cstheme="minorHAnsi"/>
                <w:b/>
                <w:bCs/>
              </w:rPr>
              <w:t>Personal data consent, Privacy Notice (AAO) and Data Protection confirmation.</w:t>
            </w:r>
          </w:p>
          <w:p w:rsidR="002F0262" w:rsidRDefault="00525FEF">
            <w:pPr>
              <w:spacing w:line="276" w:lineRule="auto"/>
              <w:rPr>
                <w:rFonts w:asciiTheme="minorHAnsi" w:hAnsiTheme="minorHAnsi" w:cstheme="minorHAnsi"/>
                <w:bCs/>
              </w:rPr>
            </w:pPr>
            <w:r>
              <w:rPr>
                <w:rFonts w:asciiTheme="minorHAnsi" w:hAnsiTheme="minorHAnsi" w:cstheme="minorHAnsi"/>
                <w:bCs/>
              </w:rPr>
              <w:t>For cases that are not approved, th</w:t>
            </w:r>
            <w:r>
              <w:rPr>
                <w:rFonts w:asciiTheme="minorHAnsi" w:hAnsiTheme="minorHAnsi" w:cstheme="minorHAnsi"/>
                <w:bCs/>
              </w:rPr>
              <w:t xml:space="preserve">e </w:t>
            </w:r>
            <w:proofErr w:type="spellStart"/>
            <w:r>
              <w:rPr>
                <w:rFonts w:asciiTheme="minorHAnsi" w:hAnsiTheme="minorHAnsi" w:cstheme="minorHAnsi"/>
                <w:bCs/>
              </w:rPr>
              <w:t>SENDCo</w:t>
            </w:r>
            <w:proofErr w:type="spellEnd"/>
            <w:r>
              <w:rPr>
                <w:rFonts w:asciiTheme="minorHAnsi" w:hAnsiTheme="minorHAnsi" w:cstheme="minorHAnsi"/>
                <w:bCs/>
              </w:rPr>
              <w:t xml:space="preserve"> will consider whether this is because the candidate does not meet the published criteria, whether the reasonable adjustment is not listed, and consider further exploration in relation to the competence being tested.</w:t>
            </w:r>
          </w:p>
        </w:tc>
      </w:tr>
    </w:tbl>
    <w:p w:rsidR="002F0262" w:rsidRDefault="00525FEF">
      <w:pPr>
        <w:pStyle w:val="Headinglevel2"/>
        <w:spacing w:before="240" w:after="120" w:line="276" w:lineRule="auto"/>
        <w:rPr>
          <w:rFonts w:asciiTheme="minorHAnsi" w:hAnsiTheme="minorHAnsi" w:cstheme="minorHAnsi"/>
          <w:color w:val="auto"/>
        </w:rPr>
      </w:pPr>
      <w:bookmarkStart w:id="95" w:name="_Toc466921637"/>
      <w:bookmarkStart w:id="96" w:name="_Toc490083862"/>
      <w:bookmarkStart w:id="97" w:name="_Toc496088802"/>
      <w:bookmarkStart w:id="98" w:name="_Toc523473892"/>
      <w:bookmarkStart w:id="99" w:name="_Toc22304708"/>
      <w:bookmarkStart w:id="100" w:name="_Toc22487036"/>
      <w:bookmarkStart w:id="101" w:name="_Toc22487155"/>
      <w:bookmarkStart w:id="102" w:name="_Toc22487630"/>
      <w:bookmarkStart w:id="103" w:name="_Toc449469100"/>
      <w:r>
        <w:rPr>
          <w:rFonts w:asciiTheme="minorHAnsi" w:hAnsiTheme="minorHAnsi" w:cstheme="minorHAnsi"/>
          <w:color w:val="auto"/>
        </w:rPr>
        <w:t>Centre-delegated access arrang</w:t>
      </w:r>
      <w:r>
        <w:rPr>
          <w:rFonts w:asciiTheme="minorHAnsi" w:hAnsiTheme="minorHAnsi" w:cstheme="minorHAnsi"/>
          <w:color w:val="auto"/>
        </w:rPr>
        <w:t>ements</w:t>
      </w:r>
      <w:bookmarkEnd w:id="95"/>
      <w:bookmarkEnd w:id="96"/>
      <w:bookmarkEnd w:id="97"/>
      <w:bookmarkEnd w:id="98"/>
      <w:bookmarkEnd w:id="99"/>
      <w:bookmarkEnd w:id="100"/>
      <w:bookmarkEnd w:id="101"/>
      <w:bookmarkEnd w:id="102"/>
    </w:p>
    <w:tbl>
      <w:tblPr>
        <w:tblStyle w:val="TableGrid"/>
        <w:tblW w:w="0" w:type="auto"/>
        <w:tblInd w:w="720" w:type="dxa"/>
        <w:tblLook w:val="04A0" w:firstRow="1" w:lastRow="0" w:firstColumn="1" w:lastColumn="0" w:noHBand="0" w:noVBand="1"/>
      </w:tblPr>
      <w:tblGrid>
        <w:gridCol w:w="9322"/>
      </w:tblGrid>
      <w:tr w:rsidR="002F0262">
        <w:tc>
          <w:tcPr>
            <w:tcW w:w="9548" w:type="dxa"/>
          </w:tcPr>
          <w:p w:rsidR="002F0262" w:rsidRDefault="00525FEF">
            <w:pPr>
              <w:spacing w:line="276" w:lineRule="auto"/>
              <w:rPr>
                <w:rFonts w:asciiTheme="minorHAnsi" w:hAnsiTheme="minorHAnsi" w:cstheme="minorHAnsi"/>
              </w:rPr>
            </w:pPr>
            <w:r>
              <w:rPr>
                <w:rFonts w:asciiTheme="minorHAnsi" w:hAnsiTheme="minorHAnsi" w:cstheme="minorHAnsi"/>
              </w:rPr>
              <w:t>Centre-delegated arrangements will be looked at on a case-by-case basis. Candidates with anxiety will be seated in the main room (after discussion with the EO seating will be allocated appropriately in the room, separate invigilation will not be all</w:t>
            </w:r>
            <w:r>
              <w:rPr>
                <w:rFonts w:asciiTheme="minorHAnsi" w:hAnsiTheme="minorHAnsi" w:cstheme="minorHAnsi"/>
              </w:rPr>
              <w:t>ocated).</w:t>
            </w:r>
          </w:p>
        </w:tc>
      </w:tr>
    </w:tbl>
    <w:p w:rsidR="002F0262" w:rsidRDefault="00525FEF">
      <w:pPr>
        <w:pStyle w:val="Headinglevel1"/>
        <w:spacing w:before="240" w:line="276" w:lineRule="auto"/>
        <w:rPr>
          <w:rFonts w:asciiTheme="minorHAnsi" w:hAnsiTheme="minorHAnsi" w:cstheme="minorHAnsi"/>
        </w:rPr>
      </w:pPr>
      <w:bookmarkStart w:id="104" w:name="_Toc490083863"/>
      <w:bookmarkStart w:id="105" w:name="_Toc496088803"/>
      <w:bookmarkStart w:id="106" w:name="_Toc523473893"/>
      <w:bookmarkStart w:id="107" w:name="_Toc22304709"/>
      <w:bookmarkStart w:id="108" w:name="_Toc22487037"/>
      <w:bookmarkStart w:id="109" w:name="_Toc22487156"/>
      <w:bookmarkStart w:id="110" w:name="_Toc22487631"/>
      <w:bookmarkStart w:id="111" w:name="_Toc443593730"/>
      <w:bookmarkStart w:id="112" w:name="_Toc466921638"/>
      <w:r>
        <w:rPr>
          <w:rFonts w:asciiTheme="minorHAnsi" w:hAnsiTheme="minorHAnsi" w:cstheme="minorHAnsi"/>
        </w:rPr>
        <w:t>Centre-specific criteria for particular access arrangements</w:t>
      </w:r>
      <w:bookmarkEnd w:id="104"/>
      <w:bookmarkEnd w:id="105"/>
      <w:bookmarkEnd w:id="106"/>
      <w:bookmarkEnd w:id="107"/>
      <w:bookmarkEnd w:id="108"/>
      <w:bookmarkEnd w:id="109"/>
      <w:bookmarkEnd w:id="110"/>
    </w:p>
    <w:p w:rsidR="002F0262" w:rsidRDefault="00525FEF">
      <w:pPr>
        <w:pStyle w:val="Headinglevel2"/>
        <w:spacing w:before="240" w:after="120" w:line="276" w:lineRule="auto"/>
        <w:rPr>
          <w:rFonts w:asciiTheme="minorHAnsi" w:hAnsiTheme="minorHAnsi" w:cstheme="minorHAnsi"/>
          <w:color w:val="auto"/>
        </w:rPr>
      </w:pPr>
      <w:bookmarkStart w:id="113" w:name="_Toc490083864"/>
      <w:bookmarkStart w:id="114" w:name="_Toc496088804"/>
      <w:bookmarkStart w:id="115" w:name="_Toc523473894"/>
      <w:bookmarkStart w:id="116" w:name="_Toc22304710"/>
      <w:bookmarkStart w:id="117" w:name="_Toc22487038"/>
      <w:bookmarkStart w:id="118" w:name="_Toc22487157"/>
      <w:bookmarkStart w:id="119" w:name="_Toc22487632"/>
      <w:r>
        <w:rPr>
          <w:rFonts w:asciiTheme="minorHAnsi" w:hAnsiTheme="minorHAnsi" w:cstheme="minorHAnsi"/>
          <w:color w:val="auto"/>
        </w:rPr>
        <w:t>Word processor policy</w:t>
      </w:r>
      <w:bookmarkEnd w:id="111"/>
      <w:bookmarkEnd w:id="112"/>
      <w:bookmarkEnd w:id="113"/>
      <w:r>
        <w:rPr>
          <w:rFonts w:asciiTheme="minorHAnsi" w:hAnsiTheme="minorHAnsi" w:cstheme="minorHAnsi"/>
          <w:color w:val="auto"/>
        </w:rPr>
        <w:t xml:space="preserve"> (exams)</w:t>
      </w:r>
      <w:bookmarkEnd w:id="114"/>
      <w:bookmarkEnd w:id="115"/>
      <w:bookmarkEnd w:id="116"/>
      <w:bookmarkEnd w:id="117"/>
      <w:bookmarkEnd w:id="118"/>
      <w:bookmarkEnd w:id="119"/>
    </w:p>
    <w:p w:rsidR="002F0262" w:rsidRDefault="00525FEF">
      <w:pPr>
        <w:spacing w:line="276" w:lineRule="auto"/>
        <w:jc w:val="both"/>
        <w:rPr>
          <w:rFonts w:asciiTheme="minorHAnsi" w:hAnsiTheme="minorHAnsi" w:cstheme="minorHAnsi"/>
          <w:szCs w:val="24"/>
        </w:rPr>
      </w:pPr>
      <w:r>
        <w:rPr>
          <w:rFonts w:asciiTheme="minorHAnsi" w:hAnsiTheme="minorHAnsi" w:cstheme="minorHAnsi"/>
          <w:szCs w:val="24"/>
        </w:rPr>
        <w:t>An exam candidate may be approved the use of a word processor where this is appropriate to the candidate’s needs and not simply because this is the candidat</w:t>
      </w:r>
      <w:r>
        <w:rPr>
          <w:rFonts w:asciiTheme="minorHAnsi" w:hAnsiTheme="minorHAnsi" w:cstheme="minorHAnsi"/>
          <w:szCs w:val="24"/>
        </w:rPr>
        <w:t xml:space="preserve">e’s preferred way of working within the centre. </w:t>
      </w:r>
    </w:p>
    <w:p w:rsidR="002F0262" w:rsidRDefault="00525FEF">
      <w:pPr>
        <w:spacing w:line="276" w:lineRule="auto"/>
        <w:jc w:val="both"/>
        <w:rPr>
          <w:rFonts w:asciiTheme="minorHAnsi" w:hAnsiTheme="minorHAnsi" w:cstheme="minorHAnsi"/>
          <w:b/>
          <w:szCs w:val="24"/>
        </w:rPr>
      </w:pPr>
      <w:hyperlink r:id="rId17" w:history="1">
        <w:r>
          <w:rPr>
            <w:rStyle w:val="Hyperlink"/>
            <w:rFonts w:asciiTheme="minorHAnsi" w:hAnsiTheme="minorHAnsi" w:cstheme="minorHAnsi"/>
            <w:b/>
            <w:szCs w:val="24"/>
          </w:rPr>
          <w:t>Appendix 7</w:t>
        </w:r>
      </w:hyperlink>
      <w:r>
        <w:rPr>
          <w:rFonts w:asciiTheme="minorHAnsi" w:hAnsiTheme="minorHAnsi" w:cstheme="minorHAnsi"/>
          <w:b/>
          <w:szCs w:val="24"/>
        </w:rPr>
        <w:t>: Word Processor Policy</w:t>
      </w:r>
    </w:p>
    <w:p w:rsidR="002F0262" w:rsidRDefault="00525FEF">
      <w:pPr>
        <w:pStyle w:val="Headinglevel2"/>
        <w:spacing w:before="240" w:after="120" w:line="276" w:lineRule="auto"/>
        <w:rPr>
          <w:rFonts w:asciiTheme="minorHAnsi" w:hAnsiTheme="minorHAnsi" w:cstheme="minorHAnsi"/>
          <w:color w:val="auto"/>
        </w:rPr>
      </w:pPr>
      <w:bookmarkStart w:id="120" w:name="_Toc443593731"/>
      <w:bookmarkStart w:id="121" w:name="_Toc466921639"/>
      <w:bookmarkStart w:id="122" w:name="_Toc490083865"/>
      <w:bookmarkStart w:id="123" w:name="_Toc496088805"/>
      <w:bookmarkStart w:id="124" w:name="_Toc523473895"/>
      <w:bookmarkStart w:id="125" w:name="_Toc22304711"/>
      <w:bookmarkStart w:id="126" w:name="_Toc22487039"/>
      <w:bookmarkStart w:id="127" w:name="_Toc22487158"/>
      <w:bookmarkStart w:id="128" w:name="_Toc22487633"/>
      <w:r>
        <w:rPr>
          <w:rFonts w:asciiTheme="minorHAnsi" w:hAnsiTheme="minorHAnsi" w:cstheme="minorHAnsi"/>
          <w:color w:val="auto"/>
        </w:rPr>
        <w:lastRenderedPageBreak/>
        <w:t>Separate invigilation within the centr</w:t>
      </w:r>
      <w:bookmarkEnd w:id="120"/>
      <w:bookmarkEnd w:id="121"/>
      <w:r>
        <w:rPr>
          <w:rFonts w:asciiTheme="minorHAnsi" w:hAnsiTheme="minorHAnsi" w:cstheme="minorHAnsi"/>
          <w:color w:val="auto"/>
        </w:rPr>
        <w:t>e</w:t>
      </w:r>
      <w:bookmarkEnd w:id="122"/>
      <w:bookmarkEnd w:id="123"/>
      <w:bookmarkEnd w:id="124"/>
      <w:bookmarkEnd w:id="125"/>
      <w:bookmarkEnd w:id="126"/>
      <w:bookmarkEnd w:id="127"/>
      <w:bookmarkEnd w:id="128"/>
    </w:p>
    <w:p w:rsidR="002F0262" w:rsidRDefault="00525FEF">
      <w:pPr>
        <w:spacing w:line="276" w:lineRule="auto"/>
        <w:jc w:val="both"/>
        <w:rPr>
          <w:rFonts w:asciiTheme="minorHAnsi" w:hAnsiTheme="minorHAnsi" w:cstheme="minorHAnsi"/>
          <w:szCs w:val="24"/>
        </w:rPr>
      </w:pPr>
      <w:r>
        <w:rPr>
          <w:rFonts w:asciiTheme="minorHAnsi" w:hAnsiTheme="minorHAnsi" w:cstheme="minorHAnsi"/>
          <w:szCs w:val="24"/>
        </w:rPr>
        <w:t xml:space="preserve">A decision where an exam candidate may be approved separate invigilation within the centre will be made by the </w:t>
      </w:r>
      <w:proofErr w:type="spellStart"/>
      <w:r>
        <w:rPr>
          <w:rFonts w:asciiTheme="minorHAnsi" w:hAnsiTheme="minorHAnsi" w:cstheme="minorHAnsi"/>
          <w:szCs w:val="24"/>
        </w:rPr>
        <w:t>SENDCo</w:t>
      </w:r>
      <w:proofErr w:type="spellEnd"/>
      <w:r>
        <w:rPr>
          <w:rFonts w:asciiTheme="minorHAnsi" w:hAnsiTheme="minorHAnsi" w:cstheme="minorHAnsi"/>
          <w:szCs w:val="24"/>
        </w:rPr>
        <w:t xml:space="preserve">. </w:t>
      </w:r>
    </w:p>
    <w:p w:rsidR="002F0262" w:rsidRDefault="00525FEF">
      <w:pPr>
        <w:spacing w:line="276" w:lineRule="auto"/>
        <w:jc w:val="both"/>
        <w:rPr>
          <w:rFonts w:asciiTheme="minorHAnsi" w:hAnsiTheme="minorHAnsi" w:cstheme="minorHAnsi"/>
          <w:szCs w:val="24"/>
        </w:rPr>
      </w:pPr>
      <w:r>
        <w:rPr>
          <w:rFonts w:asciiTheme="minorHAnsi" w:hAnsiTheme="minorHAnsi" w:cstheme="minorHAnsi"/>
          <w:szCs w:val="24"/>
        </w:rPr>
        <w:t xml:space="preserve">The decision will be based on: </w:t>
      </w:r>
    </w:p>
    <w:p w:rsidR="002F0262" w:rsidRDefault="00525FEF">
      <w:pPr>
        <w:pStyle w:val="ListParagraph"/>
        <w:numPr>
          <w:ilvl w:val="0"/>
          <w:numId w:val="2"/>
        </w:numPr>
        <w:spacing w:line="276" w:lineRule="auto"/>
        <w:jc w:val="both"/>
        <w:rPr>
          <w:rFonts w:asciiTheme="minorHAnsi" w:hAnsiTheme="minorHAnsi" w:cstheme="minorHAnsi"/>
          <w:iCs/>
          <w:color w:val="595959" w:themeColor="text1" w:themeTint="A6"/>
          <w:szCs w:val="24"/>
        </w:rPr>
      </w:pPr>
      <w:r>
        <w:rPr>
          <w:rFonts w:asciiTheme="minorHAnsi" w:hAnsiTheme="minorHAnsi" w:cstheme="minorHAnsi"/>
          <w:iCs/>
          <w:color w:val="595959" w:themeColor="text1" w:themeTint="A6"/>
          <w:szCs w:val="24"/>
        </w:rPr>
        <w:t xml:space="preserve">whether the candidate has a </w:t>
      </w:r>
      <w:r>
        <w:rPr>
          <w:rFonts w:asciiTheme="minorHAnsi" w:hAnsiTheme="minorHAnsi" w:cstheme="minorHAnsi"/>
          <w:b/>
          <w:bCs/>
          <w:iCs/>
          <w:color w:val="595959" w:themeColor="text1" w:themeTint="A6"/>
          <w:szCs w:val="24"/>
        </w:rPr>
        <w:t>substantial and long term impairment</w:t>
      </w:r>
      <w:r>
        <w:rPr>
          <w:rFonts w:asciiTheme="minorHAnsi" w:hAnsiTheme="minorHAnsi" w:cstheme="minorHAnsi"/>
          <w:iCs/>
          <w:color w:val="595959" w:themeColor="text1" w:themeTint="A6"/>
          <w:szCs w:val="24"/>
        </w:rPr>
        <w:t xml:space="preserve"> which has an adverse effect; </w:t>
      </w:r>
      <w:r>
        <w:rPr>
          <w:rFonts w:asciiTheme="minorHAnsi" w:hAnsiTheme="minorHAnsi" w:cstheme="minorHAnsi"/>
          <w:b/>
          <w:bCs/>
          <w:iCs/>
          <w:color w:val="595959" w:themeColor="text1" w:themeTint="A6"/>
          <w:szCs w:val="24"/>
          <w:u w:val="single"/>
        </w:rPr>
        <w:t>and</w:t>
      </w:r>
      <w:r>
        <w:rPr>
          <w:rFonts w:asciiTheme="minorHAnsi" w:hAnsiTheme="minorHAnsi" w:cstheme="minorHAnsi"/>
          <w:iCs/>
          <w:color w:val="595959" w:themeColor="text1" w:themeTint="A6"/>
          <w:szCs w:val="24"/>
        </w:rPr>
        <w:t xml:space="preserve"> </w:t>
      </w:r>
    </w:p>
    <w:p w:rsidR="002F0262" w:rsidRDefault="00525FEF">
      <w:pPr>
        <w:pStyle w:val="ListParagraph"/>
        <w:numPr>
          <w:ilvl w:val="0"/>
          <w:numId w:val="2"/>
        </w:numPr>
        <w:spacing w:line="276" w:lineRule="auto"/>
        <w:jc w:val="both"/>
        <w:rPr>
          <w:rFonts w:asciiTheme="minorHAnsi" w:hAnsiTheme="minorHAnsi" w:cstheme="minorHAnsi"/>
          <w:color w:val="000000"/>
        </w:rPr>
      </w:pPr>
      <w:r>
        <w:rPr>
          <w:rFonts w:asciiTheme="minorHAnsi" w:hAnsiTheme="minorHAnsi" w:cstheme="minorHAnsi"/>
          <w:b/>
          <w:bCs/>
          <w:iCs/>
          <w:color w:val="595959" w:themeColor="text1" w:themeTint="A6"/>
          <w:szCs w:val="24"/>
        </w:rPr>
        <w:t>the c</w:t>
      </w:r>
      <w:r>
        <w:rPr>
          <w:rFonts w:asciiTheme="minorHAnsi" w:hAnsiTheme="minorHAnsi" w:cstheme="minorHAnsi"/>
          <w:b/>
          <w:bCs/>
          <w:iCs/>
          <w:color w:val="595959" w:themeColor="text1" w:themeTint="A6"/>
          <w:szCs w:val="24"/>
        </w:rPr>
        <w:t>andidate’s normal way of working within the centre</w:t>
      </w:r>
      <w:r>
        <w:rPr>
          <w:rFonts w:asciiTheme="minorHAnsi" w:hAnsiTheme="minorHAnsi" w:cstheme="minorHAnsi"/>
          <w:b/>
          <w:bCs/>
          <w:color w:val="595959" w:themeColor="text1" w:themeTint="A6"/>
          <w:szCs w:val="24"/>
        </w:rPr>
        <w:t xml:space="preserve"> </w:t>
      </w:r>
      <w:r>
        <w:rPr>
          <w:rFonts w:asciiTheme="minorHAnsi" w:hAnsiTheme="minorHAnsi" w:cstheme="minorHAnsi"/>
          <w:color w:val="595959" w:themeColor="text1" w:themeTint="A6"/>
          <w:szCs w:val="24"/>
        </w:rPr>
        <w:t xml:space="preserve">   </w:t>
      </w:r>
      <w:r>
        <w:rPr>
          <w:rFonts w:asciiTheme="minorHAnsi" w:hAnsiTheme="minorHAnsi" w:cstheme="minorHAnsi"/>
          <w:bCs/>
          <w:sz w:val="20"/>
          <w:szCs w:val="20"/>
        </w:rPr>
        <w:t>[</w:t>
      </w:r>
      <w:hyperlink r:id="rId18" w:history="1">
        <w:r>
          <w:rPr>
            <w:rStyle w:val="Hyperlink"/>
            <w:rFonts w:asciiTheme="minorHAnsi" w:hAnsiTheme="minorHAnsi" w:cstheme="minorHAnsi"/>
            <w:sz w:val="20"/>
            <w:szCs w:val="20"/>
          </w:rPr>
          <w:t>AA</w:t>
        </w:r>
      </w:hyperlink>
      <w:r>
        <w:rPr>
          <w:rStyle w:val="Hyperlink"/>
          <w:rFonts w:asciiTheme="minorHAnsi" w:hAnsiTheme="minorHAnsi" w:cstheme="minorHAnsi"/>
          <w:sz w:val="20"/>
          <w:szCs w:val="20"/>
        </w:rPr>
        <w:t xml:space="preserve"> </w:t>
      </w:r>
      <w:r>
        <w:rPr>
          <w:rFonts w:asciiTheme="minorHAnsi" w:hAnsiTheme="minorHAnsi" w:cstheme="minorHAnsi"/>
          <w:sz w:val="20"/>
          <w:szCs w:val="20"/>
        </w:rPr>
        <w:t>5.16]</w:t>
      </w:r>
    </w:p>
    <w:tbl>
      <w:tblPr>
        <w:tblStyle w:val="TableGrid"/>
        <w:tblW w:w="0" w:type="auto"/>
        <w:tblInd w:w="720" w:type="dxa"/>
        <w:tblLook w:val="04A0" w:firstRow="1" w:lastRow="0" w:firstColumn="1" w:lastColumn="0" w:noHBand="0" w:noVBand="1"/>
      </w:tblPr>
      <w:tblGrid>
        <w:gridCol w:w="9322"/>
      </w:tblGrid>
      <w:tr w:rsidR="002F0262">
        <w:tc>
          <w:tcPr>
            <w:tcW w:w="9548" w:type="dxa"/>
            <w:tcBorders>
              <w:top w:val="single" w:sz="4" w:space="0" w:color="auto"/>
              <w:left w:val="single" w:sz="4" w:space="0" w:color="auto"/>
              <w:bottom w:val="single" w:sz="4" w:space="0" w:color="auto"/>
              <w:right w:val="single" w:sz="4" w:space="0" w:color="auto"/>
            </w:tcBorders>
          </w:tcPr>
          <w:p w:rsidR="002F0262" w:rsidRDefault="00525FEF">
            <w:pPr>
              <w:spacing w:line="276" w:lineRule="auto"/>
              <w:rPr>
                <w:rFonts w:asciiTheme="minorHAnsi" w:hAnsiTheme="minorHAnsi" w:cstheme="minorHAnsi"/>
                <w:iCs/>
                <w:color w:val="000000"/>
              </w:rPr>
            </w:pPr>
            <w:r>
              <w:rPr>
                <w:rFonts w:asciiTheme="minorHAnsi" w:hAnsiTheme="minorHAnsi" w:cstheme="minorHAnsi"/>
                <w:iCs/>
              </w:rPr>
              <w:t xml:space="preserve">Candidates difficulties </w:t>
            </w:r>
            <w:r>
              <w:rPr>
                <w:rFonts w:asciiTheme="minorHAnsi" w:hAnsiTheme="minorHAnsi" w:cstheme="minorHAnsi"/>
                <w:iCs/>
                <w:u w:val="single"/>
              </w:rPr>
              <w:t xml:space="preserve">must </w:t>
            </w:r>
            <w:r>
              <w:rPr>
                <w:rFonts w:asciiTheme="minorHAnsi" w:hAnsiTheme="minorHAnsi" w:cstheme="minorHAnsi"/>
                <w:iCs/>
              </w:rPr>
              <w:t xml:space="preserve">be established within the centre and known to a form teacher, Head of Year or the </w:t>
            </w:r>
            <w:proofErr w:type="spellStart"/>
            <w:r>
              <w:rPr>
                <w:rFonts w:asciiTheme="minorHAnsi" w:hAnsiTheme="minorHAnsi" w:cstheme="minorHAnsi"/>
                <w:iCs/>
              </w:rPr>
              <w:t>SENDCo</w:t>
            </w:r>
            <w:proofErr w:type="spellEnd"/>
            <w:r>
              <w:rPr>
                <w:rFonts w:asciiTheme="minorHAnsi" w:hAnsiTheme="minorHAnsi" w:cstheme="minorHAnsi"/>
                <w:iCs/>
              </w:rPr>
              <w:t xml:space="preserve">. Separate invigilation </w:t>
            </w:r>
            <w:r>
              <w:rPr>
                <w:rFonts w:asciiTheme="minorHAnsi" w:hAnsiTheme="minorHAnsi" w:cstheme="minorHAnsi"/>
                <w:iCs/>
                <w:u w:val="single"/>
              </w:rPr>
              <w:t xml:space="preserve">will </w:t>
            </w:r>
            <w:r>
              <w:rPr>
                <w:rFonts w:asciiTheme="minorHAnsi" w:hAnsiTheme="minorHAnsi" w:cstheme="minorHAnsi"/>
                <w:iCs/>
              </w:rPr>
              <w:t xml:space="preserve">reflect the candidate’s </w:t>
            </w:r>
            <w:r>
              <w:rPr>
                <w:rFonts w:asciiTheme="minorHAnsi" w:hAnsiTheme="minorHAnsi" w:cstheme="minorHAnsi"/>
                <w:b/>
                <w:iCs/>
              </w:rPr>
              <w:t xml:space="preserve">normal </w:t>
            </w:r>
            <w:r>
              <w:rPr>
                <w:rFonts w:asciiTheme="minorHAnsi" w:hAnsiTheme="minorHAnsi" w:cstheme="minorHAnsi"/>
                <w:iCs/>
              </w:rPr>
              <w:t xml:space="preserve">way of working in internal assessments and mock examinations as a consequence of </w:t>
            </w:r>
            <w:r>
              <w:rPr>
                <w:rFonts w:asciiTheme="minorHAnsi" w:hAnsiTheme="minorHAnsi" w:cstheme="minorHAnsi"/>
                <w:iCs/>
                <w:u w:val="single"/>
              </w:rPr>
              <w:t xml:space="preserve">long-term </w:t>
            </w:r>
            <w:r>
              <w:rPr>
                <w:rFonts w:asciiTheme="minorHAnsi" w:hAnsiTheme="minorHAnsi" w:cstheme="minorHAnsi"/>
                <w:iCs/>
              </w:rPr>
              <w:t>social, mental or</w:t>
            </w:r>
            <w:r>
              <w:rPr>
                <w:rFonts w:asciiTheme="minorHAnsi" w:hAnsiTheme="minorHAnsi" w:cstheme="minorHAnsi"/>
                <w:iCs/>
              </w:rPr>
              <w:t xml:space="preserve"> emotional needs. Separate invigilation </w:t>
            </w:r>
            <w:r>
              <w:rPr>
                <w:rFonts w:asciiTheme="minorHAnsi" w:hAnsiTheme="minorHAnsi" w:cstheme="minorHAnsi"/>
                <w:iCs/>
                <w:u w:val="single"/>
              </w:rPr>
              <w:t>will not</w:t>
            </w:r>
            <w:r>
              <w:rPr>
                <w:rFonts w:asciiTheme="minorHAnsi" w:hAnsiTheme="minorHAnsi" w:cstheme="minorHAnsi"/>
                <w:iCs/>
              </w:rPr>
              <w:t xml:space="preserve"> </w:t>
            </w:r>
            <w:r>
              <w:rPr>
                <w:rFonts w:asciiTheme="minorHAnsi" w:hAnsiTheme="minorHAnsi" w:cstheme="minorHAnsi"/>
                <w:iCs/>
                <w:color w:val="000000"/>
              </w:rPr>
              <w:t xml:space="preserve">be allocated for candidates suffering with exam anxiety.                                 </w:t>
            </w:r>
          </w:p>
        </w:tc>
      </w:tr>
    </w:tbl>
    <w:p w:rsidR="002F0262" w:rsidRDefault="002F0262">
      <w:pPr>
        <w:pStyle w:val="Headinglevel1"/>
        <w:rPr>
          <w:rFonts w:asciiTheme="minorHAnsi" w:hAnsiTheme="minorHAnsi" w:cstheme="minorHAnsi"/>
        </w:rPr>
      </w:pPr>
      <w:bookmarkStart w:id="129" w:name="_Toc490083867"/>
      <w:bookmarkEnd w:id="103"/>
    </w:p>
    <w:p w:rsidR="002F0262" w:rsidRDefault="002F0262">
      <w:pPr>
        <w:rPr>
          <w:rFonts w:asciiTheme="minorHAnsi" w:hAnsiTheme="minorHAnsi" w:cstheme="minorHAnsi"/>
          <w:highlight w:val="yellow"/>
        </w:rPr>
      </w:pPr>
      <w:bookmarkStart w:id="130" w:name="_Toc495857138"/>
      <w:bookmarkStart w:id="131" w:name="_Toc495857159"/>
      <w:bookmarkStart w:id="132" w:name="_Toc495859243"/>
      <w:bookmarkStart w:id="133" w:name="_Toc495859702"/>
      <w:bookmarkStart w:id="134" w:name="_Toc496088807"/>
      <w:bookmarkEnd w:id="38"/>
      <w:bookmarkEnd w:id="39"/>
      <w:bookmarkEnd w:id="129"/>
    </w:p>
    <w:bookmarkEnd w:id="130"/>
    <w:bookmarkEnd w:id="131"/>
    <w:bookmarkEnd w:id="132"/>
    <w:bookmarkEnd w:id="133"/>
    <w:bookmarkEnd w:id="134"/>
    <w:p w:rsidR="002F0262" w:rsidRDefault="002F0262">
      <w:pPr>
        <w:spacing w:before="240" w:after="240" w:line="276" w:lineRule="auto"/>
        <w:rPr>
          <w:rFonts w:asciiTheme="minorHAnsi" w:eastAsia="Times New Roman" w:hAnsiTheme="minorHAnsi" w:cstheme="minorHAnsi"/>
          <w:b/>
          <w:color w:val="003399"/>
          <w:sz w:val="28"/>
          <w:szCs w:val="28"/>
        </w:rPr>
      </w:pPr>
    </w:p>
    <w:sectPr w:rsidR="002F0262" w:rsidSect="00525FEF">
      <w:footerReference w:type="default" r:id="rId19"/>
      <w:footerReference w:type="first" r:id="rId20"/>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262" w:rsidRDefault="00525FEF">
      <w:pPr>
        <w:spacing w:after="0"/>
      </w:pPr>
      <w:r>
        <w:separator/>
      </w:r>
    </w:p>
  </w:endnote>
  <w:endnote w:type="continuationSeparator" w:id="0">
    <w:p w:rsidR="002F0262" w:rsidRDefault="00525F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262" w:rsidRDefault="00525FEF">
    <w:pPr>
      <w:shd w:val="clear" w:color="auto" w:fill="FFFFFF"/>
      <w:spacing w:before="0" w:after="0"/>
      <w:rPr>
        <w:rFonts w:asciiTheme="minorHAnsi" w:hAnsiTheme="minorHAnsi" w:cstheme="minorHAnsi"/>
        <w:sz w:val="18"/>
        <w:szCs w:val="18"/>
        <w:vertAlign w:val="superscript"/>
      </w:rPr>
    </w:pPr>
    <w:r>
      <w:rPr>
        <w:rFonts w:asciiTheme="minorHAnsi" w:hAnsiTheme="minorHAnsi" w:cstheme="minorHAnsi"/>
        <w:sz w:val="18"/>
        <w:szCs w:val="18"/>
      </w:rPr>
      <w:t>Cardinal Langley RC High School Exams Policy &amp; Procedures 2021</w:t>
    </w:r>
    <w:r>
      <w:rPr>
        <w:rFonts w:asciiTheme="minorHAnsi" w:hAnsiTheme="minorHAnsi" w:cstheme="minorHAnsi"/>
        <w:sz w:val="18"/>
        <w:szCs w:val="18"/>
      </w:rPr>
      <w:t>-22</w:t>
    </w:r>
    <w:r>
      <w:rPr>
        <w:rFonts w:asciiTheme="minorHAnsi" w:hAnsiTheme="minorHAnsi" w:cstheme="minorHAnsi"/>
        <w:sz w:val="18"/>
        <w:szCs w:val="18"/>
      </w:rPr>
      <w:t xml:space="preserve"> </w:t>
    </w:r>
    <w:r>
      <w:rPr>
        <w:rFonts w:asciiTheme="minorHAnsi" w:hAnsiTheme="minorHAnsi" w:cstheme="minorHAnsi"/>
        <w:sz w:val="18"/>
        <w:szCs w:val="18"/>
      </w:rPr>
      <w:t xml:space="preserve">(Appendix 6)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w:instrText>
    </w:r>
    <w:r>
      <w:rPr>
        <w:rFonts w:asciiTheme="minorHAnsi" w:hAnsiTheme="minorHAnsi" w:cstheme="minorHAnsi"/>
        <w:b/>
        <w:bCs/>
        <w:sz w:val="18"/>
        <w:szCs w:val="18"/>
      </w:rPr>
      <w:instrText xml:space="preserv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4</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5</w:t>
    </w:r>
    <w:r>
      <w:rPr>
        <w:rFonts w:asciiTheme="minorHAnsi" w:hAnsiTheme="minorHAnsi" w:cs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262" w:rsidRDefault="00525FEF">
    <w:pPr>
      <w:shd w:val="clear" w:color="auto" w:fill="FFFFFF"/>
      <w:spacing w:before="0" w:after="0"/>
      <w:rPr>
        <w:rFonts w:asciiTheme="minorHAnsi" w:hAnsiTheme="minorHAnsi" w:cstheme="minorHAnsi"/>
        <w:sz w:val="18"/>
        <w:szCs w:val="18"/>
        <w:vertAlign w:val="superscript"/>
      </w:rPr>
    </w:pPr>
    <w:bookmarkStart w:id="135" w:name="_Hlk9276988"/>
    <w:r>
      <w:rPr>
        <w:rFonts w:asciiTheme="minorHAnsi" w:hAnsiTheme="minorHAnsi" w:cstheme="minorHAnsi"/>
        <w:sz w:val="18"/>
        <w:szCs w:val="18"/>
      </w:rPr>
      <w:t>Cardinal Langley RC High School Exams Policy &amp; Procedures 2021</w:t>
    </w:r>
    <w:r>
      <w:rPr>
        <w:rFonts w:asciiTheme="minorHAnsi" w:hAnsiTheme="minorHAnsi" w:cstheme="minorHAnsi"/>
        <w:sz w:val="18"/>
        <w:szCs w:val="18"/>
      </w:rPr>
      <w:t>-</w:t>
    </w:r>
    <w:proofErr w:type="gramStart"/>
    <w:r>
      <w:rPr>
        <w:rFonts w:asciiTheme="minorHAnsi" w:hAnsiTheme="minorHAnsi" w:cstheme="minorHAnsi"/>
        <w:sz w:val="18"/>
        <w:szCs w:val="18"/>
      </w:rPr>
      <w:t>22</w:t>
    </w:r>
    <w:r>
      <w:rPr>
        <w:rFonts w:asciiTheme="minorHAnsi" w:hAnsiTheme="minorHAnsi" w:cstheme="minorHAnsi"/>
        <w:sz w:val="18"/>
        <w:szCs w:val="18"/>
      </w:rPr>
      <w:t xml:space="preserve">  (</w:t>
    </w:r>
    <w:proofErr w:type="gramEnd"/>
    <w:r>
      <w:rPr>
        <w:rFonts w:asciiTheme="minorHAnsi" w:hAnsiTheme="minorHAnsi" w:cstheme="minorHAnsi"/>
        <w:sz w:val="18"/>
        <w:szCs w:val="18"/>
      </w:rPr>
      <w:t xml:space="preserve">Appendix 6)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5</w:t>
    </w:r>
    <w:r>
      <w:rPr>
        <w:rFonts w:asciiTheme="minorHAnsi" w:hAnsiTheme="minorHAnsi" w:cstheme="minorHAnsi"/>
        <w:b/>
        <w:bCs/>
        <w:sz w:val="18"/>
        <w:szCs w:val="18"/>
      </w:rPr>
      <w:fldChar w:fldCharType="end"/>
    </w:r>
    <w:bookmarkEnd w:id="135"/>
  </w:p>
  <w:p w:rsidR="002F0262" w:rsidRDefault="002F0262">
    <w:pPr>
      <w:shd w:val="clear" w:color="auto" w:fill="FFFFFF"/>
      <w:spacing w:before="0" w:after="0"/>
      <w:jc w:val="right"/>
      <w:rPr>
        <w:rFonts w:asciiTheme="minorHAnsi" w:hAnsiTheme="minorHAnsi" w:cstheme="minorHAnsi"/>
        <w:sz w:val="20"/>
        <w:szCs w:val="20"/>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262" w:rsidRDefault="00525FEF">
      <w:pPr>
        <w:spacing w:after="0"/>
      </w:pPr>
      <w:r>
        <w:separator/>
      </w:r>
    </w:p>
  </w:footnote>
  <w:footnote w:type="continuationSeparator" w:id="0">
    <w:p w:rsidR="002F0262" w:rsidRDefault="00525F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92F0B"/>
    <w:multiLevelType w:val="hybridMultilevel"/>
    <w:tmpl w:val="EFECCE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D6B40"/>
    <w:multiLevelType w:val="hybridMultilevel"/>
    <w:tmpl w:val="95E6103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3" w15:restartNumberingAfterBreak="0">
    <w:nsid w:val="64A67CD0"/>
    <w:multiLevelType w:val="hybridMultilevel"/>
    <w:tmpl w:val="2F2AAF6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6B6D15E2"/>
    <w:multiLevelType w:val="hybridMultilevel"/>
    <w:tmpl w:val="4B821C1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F40DE"/>
    <w:multiLevelType w:val="hybridMultilevel"/>
    <w:tmpl w:val="9DE8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62"/>
    <w:rsid w:val="002F0262"/>
    <w:rsid w:val="00525F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84ADDD"/>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character" w:customStyle="1" w:styleId="icon">
    <w:name w:val="ic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13467424">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294467">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lrchs.co.uk/wp-content/uploads/2020/10/3-Disability.pdf" TargetMode="External"/><Relationship Id="rId18" Type="http://schemas.openxmlformats.org/officeDocument/2006/relationships/hyperlink" Target="http://www.jcq.org.uk/exams-office/access-arrangements-and-special-consideratio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s://www.clrchs.co.uk/wp-content/uploads/2020/10/7-Word-Processor.pdf" TargetMode="Externa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general-regulations" TargetMode="Externa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jcq.org.uk/exams-office/access-arrangements-and-special-consideration/regulations-and-guidance" TargetMode="Externa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30475-4A8B-4AEE-8744-74E3338B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Miss G Klukova</cp:lastModifiedBy>
  <cp:revision>3</cp:revision>
  <cp:lastPrinted>2020-10-23T07:20:00Z</cp:lastPrinted>
  <dcterms:created xsi:type="dcterms:W3CDTF">2021-11-29T11:15:00Z</dcterms:created>
  <dcterms:modified xsi:type="dcterms:W3CDTF">2021-11-29T14:00:00Z</dcterms:modified>
</cp:coreProperties>
</file>