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D" w:rsidRDefault="005C3A4D">
      <w:pPr>
        <w:spacing w:after="120"/>
        <w:jc w:val="center"/>
        <w:rPr>
          <w:rFonts w:asciiTheme="majorHAnsi" w:hAnsiTheme="majorHAnsi" w:cstheme="majorHAnsi"/>
          <w:noProof/>
          <w:sz w:val="22"/>
          <w:szCs w:val="22"/>
          <w:lang w:eastAsia="en-GB"/>
        </w:rPr>
      </w:pPr>
    </w:p>
    <w:p w:rsidR="003B6371" w:rsidRDefault="003B6371">
      <w:pPr>
        <w:spacing w:after="120"/>
        <w:jc w:val="center"/>
        <w:rPr>
          <w:rFonts w:asciiTheme="majorHAnsi" w:hAnsiTheme="majorHAnsi" w:cstheme="majorHAnsi"/>
          <w:noProof/>
          <w:sz w:val="22"/>
          <w:szCs w:val="22"/>
          <w:lang w:eastAsia="en-GB"/>
        </w:rPr>
      </w:pPr>
    </w:p>
    <w:p w:rsidR="003B6371" w:rsidRDefault="003B6371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noProof/>
          <w:sz w:val="22"/>
          <w:szCs w:val="22"/>
          <w:lang w:eastAsia="en-GB"/>
        </w:rPr>
        <w:drawing>
          <wp:inline distT="0" distB="0" distL="0" distR="0" wp14:anchorId="1ED12353" wp14:editId="5844D6BB">
            <wp:extent cx="3831021" cy="4142964"/>
            <wp:effectExtent l="0" t="0" r="0" b="0"/>
            <wp:docPr id="3" name="Picture 3" descr="T:\General\Logos\CLHS Logo - High Res (Multi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General\Logos\CLHS Logo - High Res (Multi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42" cy="41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371" w:rsidRDefault="003B6371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5C3A4D" w:rsidRDefault="005C3A4D">
      <w:pPr>
        <w:spacing w:after="120"/>
        <w:jc w:val="center"/>
        <w:rPr>
          <w:rFonts w:asciiTheme="majorHAnsi" w:hAnsiTheme="majorHAnsi" w:cstheme="majorHAnsi"/>
          <w:b/>
          <w:sz w:val="22"/>
          <w:szCs w:val="22"/>
          <w:u w:val="single"/>
        </w:rPr>
      </w:pPr>
    </w:p>
    <w:p w:rsidR="003B6371" w:rsidRPr="003B6371" w:rsidRDefault="003B6371">
      <w:pPr>
        <w:spacing w:after="120"/>
        <w:jc w:val="center"/>
        <w:rPr>
          <w:rFonts w:asciiTheme="majorHAnsi" w:hAnsiTheme="majorHAnsi" w:cstheme="majorHAnsi"/>
          <w:b/>
          <w:sz w:val="72"/>
          <w:szCs w:val="72"/>
        </w:rPr>
      </w:pPr>
      <w:r w:rsidRPr="003B6371">
        <w:rPr>
          <w:rFonts w:asciiTheme="majorHAnsi" w:hAnsiTheme="majorHAnsi" w:cstheme="majorHAnsi"/>
          <w:b/>
          <w:sz w:val="72"/>
          <w:szCs w:val="72"/>
        </w:rPr>
        <w:t xml:space="preserve">Cardinal Langley </w:t>
      </w:r>
      <w:r w:rsidRPr="003B6371">
        <w:rPr>
          <w:rFonts w:asciiTheme="majorHAnsi" w:hAnsiTheme="majorHAnsi" w:cstheme="majorHAnsi"/>
          <w:b/>
          <w:color w:val="FF0000"/>
          <w:sz w:val="72"/>
          <w:szCs w:val="72"/>
        </w:rPr>
        <w:t xml:space="preserve">RC </w:t>
      </w:r>
      <w:r w:rsidRPr="003B6371">
        <w:rPr>
          <w:rFonts w:asciiTheme="majorHAnsi" w:hAnsiTheme="majorHAnsi" w:cstheme="majorHAnsi"/>
          <w:b/>
          <w:sz w:val="72"/>
          <w:szCs w:val="72"/>
        </w:rPr>
        <w:t>High School</w:t>
      </w:r>
    </w:p>
    <w:p w:rsidR="005C3A4D" w:rsidRPr="003B6371" w:rsidRDefault="00921F9E">
      <w:pPr>
        <w:spacing w:after="120"/>
        <w:jc w:val="center"/>
        <w:rPr>
          <w:rFonts w:asciiTheme="majorHAnsi" w:hAnsiTheme="majorHAnsi" w:cstheme="majorHAnsi"/>
          <w:b/>
          <w:sz w:val="72"/>
          <w:szCs w:val="72"/>
        </w:rPr>
      </w:pPr>
      <w:r>
        <w:rPr>
          <w:rFonts w:asciiTheme="majorHAnsi" w:hAnsiTheme="majorHAnsi" w:cstheme="majorHAnsi"/>
          <w:b/>
          <w:sz w:val="72"/>
          <w:szCs w:val="72"/>
        </w:rPr>
        <w:t>Catch Up</w:t>
      </w:r>
      <w:r w:rsidR="007F11B2" w:rsidRPr="003B6371">
        <w:rPr>
          <w:rFonts w:asciiTheme="majorHAnsi" w:hAnsiTheme="majorHAnsi" w:cstheme="majorHAnsi"/>
          <w:b/>
          <w:sz w:val="72"/>
          <w:szCs w:val="72"/>
        </w:rPr>
        <w:t xml:space="preserve"> Premium </w:t>
      </w:r>
    </w:p>
    <w:p w:rsidR="005C3A4D" w:rsidRPr="003B6371" w:rsidRDefault="003B6371" w:rsidP="003B6371">
      <w:pPr>
        <w:spacing w:after="120"/>
        <w:jc w:val="center"/>
        <w:rPr>
          <w:rFonts w:asciiTheme="majorHAnsi" w:hAnsiTheme="majorHAnsi" w:cstheme="majorHAnsi"/>
          <w:b/>
          <w:sz w:val="56"/>
          <w:szCs w:val="56"/>
        </w:rPr>
      </w:pPr>
      <w:r w:rsidRPr="003B6371">
        <w:rPr>
          <w:rFonts w:asciiTheme="majorHAnsi" w:hAnsiTheme="majorHAnsi" w:cstheme="majorHAnsi"/>
          <w:b/>
          <w:sz w:val="56"/>
          <w:szCs w:val="56"/>
        </w:rPr>
        <w:t xml:space="preserve">Impact </w:t>
      </w:r>
      <w:r w:rsidR="005E20C3">
        <w:rPr>
          <w:rFonts w:asciiTheme="majorHAnsi" w:hAnsiTheme="majorHAnsi" w:cstheme="majorHAnsi"/>
          <w:b/>
          <w:sz w:val="56"/>
          <w:szCs w:val="56"/>
        </w:rPr>
        <w:t>Report</w:t>
      </w:r>
      <w:r w:rsidR="00FF2555">
        <w:rPr>
          <w:rFonts w:asciiTheme="majorHAnsi" w:hAnsiTheme="majorHAnsi" w:cstheme="majorHAnsi"/>
          <w:b/>
          <w:sz w:val="56"/>
          <w:szCs w:val="56"/>
        </w:rPr>
        <w:t xml:space="preserve"> 2017/18</w:t>
      </w:r>
    </w:p>
    <w:p w:rsidR="003B6371" w:rsidRDefault="003B6371">
      <w:pPr>
        <w:spacing w:after="120"/>
        <w:jc w:val="both"/>
        <w:rPr>
          <w:rFonts w:asciiTheme="majorHAnsi" w:hAnsiTheme="majorHAnsi" w:cstheme="majorHAnsi"/>
          <w:i/>
          <w:sz w:val="32"/>
          <w:szCs w:val="32"/>
        </w:rPr>
      </w:pPr>
    </w:p>
    <w:p w:rsidR="003B6371" w:rsidRDefault="003B6371">
      <w:pPr>
        <w:spacing w:after="120"/>
        <w:jc w:val="both"/>
        <w:rPr>
          <w:rFonts w:asciiTheme="majorHAnsi" w:hAnsiTheme="majorHAnsi" w:cstheme="majorHAnsi"/>
          <w:b/>
        </w:rPr>
      </w:pPr>
    </w:p>
    <w:p w:rsidR="003B6371" w:rsidRDefault="003B6371">
      <w:pPr>
        <w:spacing w:after="120"/>
        <w:jc w:val="both"/>
        <w:rPr>
          <w:rFonts w:asciiTheme="majorHAnsi" w:hAnsiTheme="majorHAnsi" w:cstheme="majorHAnsi"/>
          <w:b/>
        </w:rPr>
      </w:pPr>
    </w:p>
    <w:p w:rsidR="00921F9E" w:rsidRDefault="00921F9E">
      <w:pPr>
        <w:spacing w:after="120"/>
        <w:jc w:val="both"/>
        <w:rPr>
          <w:rFonts w:asciiTheme="majorHAnsi" w:hAnsiTheme="majorHAnsi" w:cstheme="majorHAnsi"/>
          <w:b/>
        </w:rPr>
      </w:pPr>
    </w:p>
    <w:p w:rsidR="003B6371" w:rsidRPr="00921F9E" w:rsidRDefault="003B6371" w:rsidP="003B6371">
      <w:pPr>
        <w:jc w:val="center"/>
        <w:rPr>
          <w:rFonts w:asciiTheme="majorHAnsi" w:hAnsiTheme="majorHAnsi" w:cstheme="majorHAnsi"/>
          <w:b/>
          <w:i/>
          <w:color w:val="0070C0"/>
          <w:sz w:val="28"/>
          <w:szCs w:val="28"/>
        </w:rPr>
      </w:pPr>
      <w:r w:rsidRPr="00921F9E">
        <w:rPr>
          <w:rFonts w:asciiTheme="majorHAnsi" w:hAnsiTheme="majorHAnsi" w:cstheme="majorHAnsi"/>
          <w:b/>
          <w:i/>
          <w:color w:val="0070C0"/>
          <w:sz w:val="28"/>
          <w:szCs w:val="28"/>
        </w:rPr>
        <w:t>‘</w:t>
      </w:r>
      <w:r w:rsidR="00921F9E" w:rsidRPr="00921F9E">
        <w:rPr>
          <w:rFonts w:asciiTheme="majorHAnsi" w:hAnsiTheme="majorHAnsi" w:cstheme="majorHAnsi"/>
          <w:b/>
          <w:i/>
          <w:color w:val="0070C0"/>
          <w:sz w:val="28"/>
          <w:szCs w:val="28"/>
        </w:rPr>
        <w:t>The school makes effective use of its Year 7 catch-up funding to support pupils whose English and maths scores were low at primary school’</w:t>
      </w:r>
    </w:p>
    <w:p w:rsidR="003B6371" w:rsidRPr="00921F9E" w:rsidRDefault="00921F9E" w:rsidP="00921F9E">
      <w:pPr>
        <w:spacing w:after="120"/>
        <w:jc w:val="right"/>
        <w:rPr>
          <w:rFonts w:asciiTheme="majorHAnsi" w:hAnsiTheme="majorHAnsi" w:cstheme="majorHAnsi"/>
          <w:b/>
          <w:i/>
          <w:color w:val="0070C0"/>
          <w:sz w:val="28"/>
          <w:szCs w:val="28"/>
        </w:rPr>
      </w:pPr>
      <w:r w:rsidRPr="00921F9E">
        <w:rPr>
          <w:rFonts w:asciiTheme="majorHAnsi" w:hAnsiTheme="majorHAnsi" w:cstheme="majorHAnsi"/>
          <w:b/>
          <w:i/>
          <w:color w:val="0070C0"/>
          <w:sz w:val="28"/>
          <w:szCs w:val="28"/>
        </w:rPr>
        <w:t>Ofsted</w:t>
      </w:r>
      <w:r w:rsidR="003B6371" w:rsidRPr="00921F9E">
        <w:rPr>
          <w:rFonts w:asciiTheme="majorHAnsi" w:hAnsiTheme="majorHAnsi" w:cstheme="majorHAnsi"/>
          <w:b/>
          <w:i/>
          <w:color w:val="0070C0"/>
          <w:sz w:val="28"/>
          <w:szCs w:val="28"/>
        </w:rPr>
        <w:t>, 2017</w:t>
      </w:r>
    </w:p>
    <w:p w:rsidR="005E20C3" w:rsidRPr="005E20C3" w:rsidRDefault="00921F9E" w:rsidP="00BF049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>Year 7 Catch-up</w:t>
      </w:r>
      <w:r w:rsidR="005E20C3" w:rsidRPr="005E20C3">
        <w:rPr>
          <w:rFonts w:asciiTheme="majorHAnsi" w:hAnsiTheme="majorHAnsi" w:cstheme="majorHAnsi"/>
          <w:b/>
          <w:sz w:val="32"/>
          <w:szCs w:val="32"/>
        </w:rPr>
        <w:t xml:space="preserve"> Premium </w:t>
      </w:r>
      <w:r w:rsidR="005E20C3">
        <w:rPr>
          <w:rFonts w:asciiTheme="majorHAnsi" w:hAnsiTheme="majorHAnsi" w:cstheme="majorHAnsi"/>
          <w:b/>
          <w:sz w:val="32"/>
          <w:szCs w:val="32"/>
        </w:rPr>
        <w:t xml:space="preserve">- </w:t>
      </w:r>
      <w:r w:rsidR="00FF2555">
        <w:rPr>
          <w:rFonts w:asciiTheme="majorHAnsi" w:hAnsiTheme="majorHAnsi" w:cstheme="majorHAnsi"/>
          <w:b/>
          <w:sz w:val="32"/>
          <w:szCs w:val="32"/>
        </w:rPr>
        <w:t>Impact Report 2017/18</w:t>
      </w:r>
    </w:p>
    <w:p w:rsidR="00921F9E" w:rsidRDefault="00921F9E" w:rsidP="00BF049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BF049F" w:rsidRDefault="00BF049F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Year 7 Catch-Up premium provides additional funding for schools to accelerate the progress of identified students in </w:t>
      </w:r>
      <w:r w:rsidR="002D6BCE">
        <w:rPr>
          <w:rFonts w:asciiTheme="majorHAnsi" w:hAnsiTheme="majorHAnsi" w:cstheme="majorHAnsi"/>
          <w:sz w:val="22"/>
          <w:szCs w:val="22"/>
        </w:rPr>
        <w:t>literacy and numeracy</w:t>
      </w:r>
      <w:r>
        <w:rPr>
          <w:rFonts w:asciiTheme="majorHAnsi" w:hAnsiTheme="majorHAnsi" w:cstheme="majorHAnsi"/>
          <w:sz w:val="22"/>
          <w:szCs w:val="22"/>
        </w:rPr>
        <w:t>. The funding is aimed at Year 7 students who did not achieve the expected standard at the end of Key Stage 2.</w:t>
      </w:r>
      <w:r w:rsidR="000763B3">
        <w:rPr>
          <w:rFonts w:asciiTheme="majorHAnsi" w:hAnsiTheme="majorHAnsi" w:cstheme="majorHAnsi"/>
          <w:sz w:val="22"/>
          <w:szCs w:val="22"/>
        </w:rPr>
        <w:t xml:space="preserve"> The funding enables the school</w:t>
      </w:r>
      <w:r w:rsidR="00F404C0">
        <w:rPr>
          <w:rFonts w:asciiTheme="majorHAnsi" w:hAnsiTheme="majorHAnsi" w:cstheme="majorHAnsi"/>
          <w:sz w:val="22"/>
          <w:szCs w:val="22"/>
        </w:rPr>
        <w:t xml:space="preserve"> to deliver additional support</w:t>
      </w:r>
      <w:r w:rsidR="000763B3">
        <w:rPr>
          <w:rFonts w:asciiTheme="majorHAnsi" w:hAnsiTheme="majorHAnsi" w:cstheme="majorHAnsi"/>
          <w:sz w:val="22"/>
          <w:szCs w:val="22"/>
        </w:rPr>
        <w:t xml:space="preserve"> for t</w:t>
      </w:r>
      <w:r w:rsidR="00F404C0">
        <w:rPr>
          <w:rFonts w:asciiTheme="majorHAnsi" w:hAnsiTheme="majorHAnsi" w:cstheme="majorHAnsi"/>
          <w:sz w:val="22"/>
          <w:szCs w:val="22"/>
        </w:rPr>
        <w:t>hose students that most need it</w:t>
      </w:r>
      <w:r w:rsidR="000763B3">
        <w:rPr>
          <w:rFonts w:asciiTheme="majorHAnsi" w:hAnsiTheme="majorHAnsi" w:cstheme="majorHAnsi"/>
          <w:sz w:val="22"/>
          <w:szCs w:val="22"/>
        </w:rPr>
        <w:t xml:space="preserve"> so that they catch up with their peers.</w:t>
      </w:r>
    </w:p>
    <w:p w:rsidR="00921F9E" w:rsidRDefault="00FF2555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the academic year 2017/18</w:t>
      </w:r>
      <w:r w:rsidR="00921F9E" w:rsidRPr="00921F9E">
        <w:rPr>
          <w:rFonts w:asciiTheme="majorHAnsi" w:hAnsiTheme="majorHAnsi" w:cstheme="majorHAnsi"/>
          <w:sz w:val="22"/>
          <w:szCs w:val="22"/>
        </w:rPr>
        <w:t>, Cardinal Langley RC</w:t>
      </w:r>
      <w:r w:rsidR="00F404C0">
        <w:rPr>
          <w:rFonts w:asciiTheme="majorHAnsi" w:hAnsiTheme="majorHAnsi" w:cstheme="majorHAnsi"/>
          <w:sz w:val="22"/>
          <w:szCs w:val="22"/>
        </w:rPr>
        <w:t xml:space="preserve"> </w:t>
      </w:r>
      <w:r w:rsidR="00921F9E" w:rsidRPr="00921F9E">
        <w:rPr>
          <w:rFonts w:asciiTheme="majorHAnsi" w:hAnsiTheme="majorHAnsi" w:cstheme="majorHAnsi"/>
          <w:sz w:val="22"/>
          <w:szCs w:val="22"/>
        </w:rPr>
        <w:t>H</w:t>
      </w:r>
      <w:r w:rsidR="00F404C0">
        <w:rPr>
          <w:rFonts w:asciiTheme="majorHAnsi" w:hAnsiTheme="majorHAnsi" w:cstheme="majorHAnsi"/>
          <w:sz w:val="22"/>
          <w:szCs w:val="22"/>
        </w:rPr>
        <w:t xml:space="preserve">igh </w:t>
      </w:r>
      <w:r w:rsidR="00921F9E" w:rsidRPr="00921F9E">
        <w:rPr>
          <w:rFonts w:asciiTheme="majorHAnsi" w:hAnsiTheme="majorHAnsi" w:cstheme="majorHAnsi"/>
          <w:sz w:val="22"/>
          <w:szCs w:val="22"/>
        </w:rPr>
        <w:t>S</w:t>
      </w:r>
      <w:r w:rsidR="00F404C0">
        <w:rPr>
          <w:rFonts w:asciiTheme="majorHAnsi" w:hAnsiTheme="majorHAnsi" w:cstheme="majorHAnsi"/>
          <w:sz w:val="22"/>
          <w:szCs w:val="22"/>
        </w:rPr>
        <w:t>chool</w:t>
      </w:r>
      <w:r w:rsidR="00921F9E" w:rsidRPr="00921F9E">
        <w:rPr>
          <w:rFonts w:asciiTheme="majorHAnsi" w:hAnsiTheme="majorHAnsi" w:cstheme="majorHAnsi"/>
          <w:sz w:val="22"/>
          <w:szCs w:val="22"/>
        </w:rPr>
        <w:t xml:space="preserve"> </w:t>
      </w:r>
      <w:r w:rsidR="00A542C2">
        <w:rPr>
          <w:rFonts w:asciiTheme="majorHAnsi" w:hAnsiTheme="majorHAnsi" w:cstheme="majorHAnsi"/>
          <w:sz w:val="22"/>
          <w:szCs w:val="22"/>
        </w:rPr>
        <w:t>received £22,500 to support</w:t>
      </w:r>
      <w:r w:rsidR="000763B3">
        <w:rPr>
          <w:rFonts w:asciiTheme="majorHAnsi" w:hAnsiTheme="majorHAnsi" w:cstheme="majorHAnsi"/>
          <w:sz w:val="22"/>
          <w:szCs w:val="22"/>
        </w:rPr>
        <w:t xml:space="preserve"> </w:t>
      </w:r>
      <w:r w:rsidR="00A542C2">
        <w:rPr>
          <w:rFonts w:asciiTheme="majorHAnsi" w:hAnsiTheme="majorHAnsi" w:cstheme="majorHAnsi"/>
          <w:sz w:val="22"/>
          <w:szCs w:val="22"/>
        </w:rPr>
        <w:t>students</w:t>
      </w:r>
      <w:r w:rsidR="00921F9E" w:rsidRPr="00921F9E">
        <w:rPr>
          <w:rFonts w:asciiTheme="majorHAnsi" w:hAnsiTheme="majorHAnsi" w:cstheme="majorHAnsi"/>
          <w:sz w:val="22"/>
          <w:szCs w:val="22"/>
        </w:rPr>
        <w:t xml:space="preserve"> in Year 7 who </w:t>
      </w:r>
      <w:r w:rsidR="000763B3">
        <w:rPr>
          <w:rFonts w:asciiTheme="majorHAnsi" w:hAnsiTheme="majorHAnsi" w:cstheme="majorHAnsi"/>
          <w:sz w:val="22"/>
          <w:szCs w:val="22"/>
        </w:rPr>
        <w:t xml:space="preserve">had been identified </w:t>
      </w:r>
      <w:r w:rsidR="00F404C0">
        <w:rPr>
          <w:rFonts w:asciiTheme="majorHAnsi" w:hAnsiTheme="majorHAnsi" w:cstheme="majorHAnsi"/>
          <w:sz w:val="22"/>
          <w:szCs w:val="22"/>
        </w:rPr>
        <w:t>from their Key Stage 2 assessments as not meeting the expected standard in literacy, numeracy or both.</w:t>
      </w:r>
    </w:p>
    <w:p w:rsidR="005E20C3" w:rsidRDefault="00921F9E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  <w:r w:rsidRPr="00921F9E">
        <w:rPr>
          <w:rFonts w:asciiTheme="majorHAnsi" w:hAnsiTheme="majorHAnsi" w:cstheme="majorHAnsi"/>
          <w:sz w:val="22"/>
          <w:szCs w:val="22"/>
        </w:rPr>
        <w:t xml:space="preserve">The </w:t>
      </w:r>
      <w:r w:rsidR="000763B3">
        <w:rPr>
          <w:rFonts w:asciiTheme="majorHAnsi" w:hAnsiTheme="majorHAnsi" w:cstheme="majorHAnsi"/>
          <w:sz w:val="22"/>
          <w:szCs w:val="22"/>
        </w:rPr>
        <w:t>Year 7 Catch-Up P</w:t>
      </w:r>
      <w:r w:rsidRPr="00921F9E">
        <w:rPr>
          <w:rFonts w:asciiTheme="majorHAnsi" w:hAnsiTheme="majorHAnsi" w:cstheme="majorHAnsi"/>
          <w:sz w:val="22"/>
          <w:szCs w:val="22"/>
        </w:rPr>
        <w:t xml:space="preserve">remium has </w:t>
      </w:r>
      <w:r w:rsidR="000763B3">
        <w:rPr>
          <w:rFonts w:asciiTheme="majorHAnsi" w:hAnsiTheme="majorHAnsi" w:cstheme="majorHAnsi"/>
          <w:sz w:val="22"/>
          <w:szCs w:val="22"/>
        </w:rPr>
        <w:t xml:space="preserve">also </w:t>
      </w:r>
      <w:r w:rsidRPr="00921F9E">
        <w:rPr>
          <w:rFonts w:asciiTheme="majorHAnsi" w:hAnsiTheme="majorHAnsi" w:cstheme="majorHAnsi"/>
          <w:sz w:val="22"/>
          <w:szCs w:val="22"/>
        </w:rPr>
        <w:t xml:space="preserve">allowed us to build capacity within our Additional Needs </w:t>
      </w:r>
      <w:r w:rsidR="002D6BCE">
        <w:rPr>
          <w:rFonts w:asciiTheme="majorHAnsi" w:hAnsiTheme="majorHAnsi" w:cstheme="majorHAnsi"/>
          <w:sz w:val="22"/>
          <w:szCs w:val="22"/>
        </w:rPr>
        <w:t xml:space="preserve">department </w:t>
      </w:r>
      <w:r w:rsidRPr="00921F9E">
        <w:rPr>
          <w:rFonts w:asciiTheme="majorHAnsi" w:hAnsiTheme="majorHAnsi" w:cstheme="majorHAnsi"/>
          <w:sz w:val="22"/>
          <w:szCs w:val="22"/>
        </w:rPr>
        <w:t xml:space="preserve">for both literacy and numeracy support </w:t>
      </w:r>
      <w:r>
        <w:rPr>
          <w:rFonts w:asciiTheme="majorHAnsi" w:hAnsiTheme="majorHAnsi" w:cstheme="majorHAnsi"/>
          <w:sz w:val="22"/>
          <w:szCs w:val="22"/>
        </w:rPr>
        <w:t xml:space="preserve">as well up-skill teaching staff </w:t>
      </w:r>
      <w:r w:rsidRPr="00921F9E">
        <w:rPr>
          <w:rFonts w:asciiTheme="majorHAnsi" w:hAnsiTheme="majorHAnsi" w:cstheme="majorHAnsi"/>
          <w:sz w:val="22"/>
          <w:szCs w:val="22"/>
        </w:rPr>
        <w:t xml:space="preserve">and relevant leaders linked to numeracy and literacy through CPD opportunities and improving the focus on </w:t>
      </w:r>
      <w:r w:rsidR="009E1964">
        <w:rPr>
          <w:rFonts w:asciiTheme="majorHAnsi" w:hAnsiTheme="majorHAnsi" w:cstheme="majorHAnsi"/>
          <w:sz w:val="22"/>
          <w:szCs w:val="22"/>
        </w:rPr>
        <w:t>numeracy across the curriculum.</w:t>
      </w:r>
    </w:p>
    <w:p w:rsidR="002D6BCE" w:rsidRDefault="002D6BCE" w:rsidP="00921F9E">
      <w:pPr>
        <w:spacing w:after="120"/>
        <w:jc w:val="both"/>
        <w:rPr>
          <w:rFonts w:asciiTheme="majorHAnsi" w:hAnsiTheme="majorHAnsi" w:cstheme="majorHAnsi"/>
          <w:sz w:val="22"/>
          <w:szCs w:val="22"/>
        </w:rPr>
      </w:pPr>
    </w:p>
    <w:p w:rsidR="00B30A96" w:rsidRDefault="00930BC4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  <w:r w:rsidRPr="00930BC4">
        <w:rPr>
          <w:rFonts w:ascii="Calibri" w:eastAsia="Calibri" w:hAnsi="Calibri" w:cs="Times New Roman"/>
          <w:b/>
          <w:sz w:val="32"/>
          <w:szCs w:val="32"/>
        </w:rPr>
        <w:t xml:space="preserve">Catch-Up Premium </w:t>
      </w:r>
      <w:r>
        <w:rPr>
          <w:rFonts w:ascii="Calibri" w:eastAsia="Calibri" w:hAnsi="Calibri" w:cs="Times New Roman"/>
          <w:b/>
          <w:sz w:val="32"/>
          <w:szCs w:val="32"/>
        </w:rPr>
        <w:t>Impact</w:t>
      </w:r>
      <w:r w:rsidR="00FF2555">
        <w:rPr>
          <w:rFonts w:ascii="Calibri" w:eastAsia="Calibri" w:hAnsi="Calibri" w:cs="Times New Roman"/>
          <w:b/>
          <w:sz w:val="32"/>
          <w:szCs w:val="32"/>
        </w:rPr>
        <w:t xml:space="preserve"> 2017/18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790"/>
        <w:gridCol w:w="3189"/>
        <w:gridCol w:w="1292"/>
        <w:gridCol w:w="3335"/>
        <w:gridCol w:w="850"/>
      </w:tblGrid>
      <w:tr w:rsidR="000010AC" w:rsidRPr="009E1964" w:rsidTr="000010AC">
        <w:tc>
          <w:tcPr>
            <w:tcW w:w="1790" w:type="dxa"/>
            <w:shd w:val="clear" w:color="auto" w:fill="808080" w:themeFill="background1" w:themeFillShade="80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1964">
              <w:rPr>
                <w:rFonts w:asciiTheme="majorHAnsi" w:hAnsiTheme="majorHAnsi" w:cstheme="majorHAnsi"/>
                <w:b/>
                <w:sz w:val="28"/>
                <w:szCs w:val="28"/>
              </w:rPr>
              <w:t>Strategy</w:t>
            </w:r>
          </w:p>
        </w:tc>
        <w:tc>
          <w:tcPr>
            <w:tcW w:w="3189" w:type="dxa"/>
            <w:shd w:val="clear" w:color="auto" w:fill="808080" w:themeFill="background1" w:themeFillShade="80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1964">
              <w:rPr>
                <w:rFonts w:asciiTheme="majorHAnsi" w:hAnsiTheme="majorHAnsi" w:cstheme="majorHAnsi"/>
                <w:b/>
                <w:sz w:val="28"/>
                <w:szCs w:val="28"/>
              </w:rPr>
              <w:t>Actions/Plans</w:t>
            </w:r>
          </w:p>
        </w:tc>
        <w:tc>
          <w:tcPr>
            <w:tcW w:w="1292" w:type="dxa"/>
            <w:shd w:val="clear" w:color="auto" w:fill="808080" w:themeFill="background1" w:themeFillShade="80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E1964">
              <w:rPr>
                <w:rFonts w:asciiTheme="majorHAnsi" w:hAnsiTheme="majorHAnsi" w:cstheme="majorHAnsi"/>
                <w:b/>
                <w:sz w:val="28"/>
                <w:szCs w:val="28"/>
              </w:rPr>
              <w:t>Spending</w:t>
            </w:r>
          </w:p>
        </w:tc>
        <w:tc>
          <w:tcPr>
            <w:tcW w:w="3335" w:type="dxa"/>
            <w:shd w:val="clear" w:color="auto" w:fill="808080" w:themeFill="background1" w:themeFillShade="80"/>
          </w:tcPr>
          <w:p w:rsidR="000010AC" w:rsidRPr="00FF2555" w:rsidRDefault="000010AC" w:rsidP="000010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F2555">
              <w:rPr>
                <w:rFonts w:asciiTheme="majorHAnsi" w:hAnsiTheme="majorHAnsi" w:cstheme="majorHAnsi"/>
                <w:b/>
                <w:sz w:val="28"/>
                <w:szCs w:val="28"/>
              </w:rPr>
              <w:t>Impact/Evidence</w:t>
            </w:r>
          </w:p>
        </w:tc>
        <w:tc>
          <w:tcPr>
            <w:tcW w:w="850" w:type="dxa"/>
            <w:shd w:val="clear" w:color="auto" w:fill="808080" w:themeFill="background1" w:themeFillShade="80"/>
          </w:tcPr>
          <w:p w:rsidR="000010AC" w:rsidRDefault="000010AC" w:rsidP="000010AC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RAG</w:t>
            </w:r>
          </w:p>
        </w:tc>
      </w:tr>
      <w:tr w:rsidR="00E10E18" w:rsidRPr="00D808E1" w:rsidTr="00FF2555">
        <w:tc>
          <w:tcPr>
            <w:tcW w:w="1790" w:type="dxa"/>
            <w:vMerge w:val="restart"/>
            <w:shd w:val="clear" w:color="auto" w:fill="auto"/>
            <w:vAlign w:val="center"/>
          </w:tcPr>
          <w:p w:rsidR="00E10E18" w:rsidRPr="009E1964" w:rsidRDefault="00E10E18" w:rsidP="000010AC">
            <w:pPr>
              <w:rPr>
                <w:rFonts w:asciiTheme="majorHAnsi" w:hAnsiTheme="majorHAnsi" w:cstheme="majorHAnsi"/>
              </w:rPr>
            </w:pPr>
            <w:r w:rsidRPr="009E1964">
              <w:rPr>
                <w:rFonts w:asciiTheme="majorHAnsi" w:hAnsiTheme="majorHAnsi" w:cstheme="majorHAnsi"/>
              </w:rPr>
              <w:t>Reading Intervention</w:t>
            </w:r>
          </w:p>
        </w:tc>
        <w:tc>
          <w:tcPr>
            <w:tcW w:w="3189" w:type="dxa"/>
            <w:shd w:val="clear" w:color="auto" w:fill="auto"/>
          </w:tcPr>
          <w:p w:rsidR="00E10E18" w:rsidRPr="00D808E1" w:rsidRDefault="00E10E18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All Year 7 students completed reading and spelling age tests on entry. Intervention programme students regularly tested throughout the year.</w:t>
            </w:r>
          </w:p>
        </w:tc>
        <w:tc>
          <w:tcPr>
            <w:tcW w:w="1292" w:type="dxa"/>
            <w:shd w:val="clear" w:color="auto" w:fill="auto"/>
          </w:tcPr>
          <w:p w:rsidR="00E10E18" w:rsidRPr="00D808E1" w:rsidRDefault="00E10E18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£2,5</w:t>
            </w:r>
            <w:r w:rsidRPr="00D808E1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335" w:type="dxa"/>
            <w:shd w:val="clear" w:color="auto" w:fill="auto"/>
          </w:tcPr>
          <w:p w:rsidR="00E10E18" w:rsidRPr="00FF2555" w:rsidRDefault="00E10E18" w:rsidP="00543097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>CL staff tested students from partner primary schools in Year 6. Resources enabled accurate identification of needs of intervention cohort.</w:t>
            </w:r>
          </w:p>
        </w:tc>
        <w:tc>
          <w:tcPr>
            <w:tcW w:w="850" w:type="dxa"/>
            <w:shd w:val="clear" w:color="auto" w:fill="33CC33"/>
          </w:tcPr>
          <w:p w:rsidR="00E10E18" w:rsidRDefault="00E10E18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E10E18" w:rsidRPr="00D808E1" w:rsidTr="00FF2555">
        <w:tc>
          <w:tcPr>
            <w:tcW w:w="1790" w:type="dxa"/>
            <w:vMerge/>
            <w:shd w:val="clear" w:color="auto" w:fill="auto"/>
            <w:vAlign w:val="center"/>
          </w:tcPr>
          <w:p w:rsidR="00E10E18" w:rsidRPr="009E1964" w:rsidRDefault="00E10E18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E10E18" w:rsidRPr="00D808E1" w:rsidRDefault="00E10E18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Small group guided reader sessions for all students </w:t>
            </w:r>
            <w:r w:rsidR="005949A7">
              <w:rPr>
                <w:rFonts w:asciiTheme="majorHAnsi" w:hAnsiTheme="majorHAnsi" w:cstheme="majorHAnsi"/>
              </w:rPr>
              <w:t>with a reading age below 7.1 (9</w:t>
            </w:r>
            <w:r>
              <w:rPr>
                <w:rFonts w:asciiTheme="majorHAnsi" w:hAnsiTheme="majorHAnsi" w:cstheme="majorHAnsi"/>
              </w:rPr>
              <w:t xml:space="preserve"> in total).</w:t>
            </w:r>
          </w:p>
        </w:tc>
        <w:tc>
          <w:tcPr>
            <w:tcW w:w="1292" w:type="dxa"/>
            <w:shd w:val="clear" w:color="auto" w:fill="auto"/>
          </w:tcPr>
          <w:p w:rsidR="00E10E18" w:rsidRPr="00D808E1" w:rsidRDefault="00E10E18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£5,000</w:t>
            </w:r>
          </w:p>
        </w:tc>
        <w:tc>
          <w:tcPr>
            <w:tcW w:w="3335" w:type="dxa"/>
            <w:shd w:val="clear" w:color="auto" w:fill="auto"/>
          </w:tcPr>
          <w:p w:rsidR="00E10E18" w:rsidRPr="00FF2555" w:rsidRDefault="00E10E18" w:rsidP="00543097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 xml:space="preserve">2 groups of students in target cohort withdrawn for support 5 hours per fortnight. </w:t>
            </w:r>
          </w:p>
          <w:p w:rsidR="00E10E18" w:rsidRPr="00FF2555" w:rsidRDefault="00FF2555" w:rsidP="00FF2555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 xml:space="preserve">Average improvement in reading age of +8 months across the autumn term. </w:t>
            </w:r>
          </w:p>
        </w:tc>
        <w:tc>
          <w:tcPr>
            <w:tcW w:w="850" w:type="dxa"/>
            <w:shd w:val="clear" w:color="auto" w:fill="33CC33"/>
          </w:tcPr>
          <w:p w:rsidR="00E10E18" w:rsidRDefault="00E10E18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E10E18" w:rsidTr="00FF2555">
        <w:tc>
          <w:tcPr>
            <w:tcW w:w="1790" w:type="dxa"/>
            <w:vMerge/>
            <w:shd w:val="clear" w:color="auto" w:fill="auto"/>
            <w:vAlign w:val="center"/>
          </w:tcPr>
          <w:p w:rsidR="00E10E18" w:rsidRPr="009E1964" w:rsidRDefault="00E10E18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E10E18" w:rsidRPr="00657A96" w:rsidRDefault="00E10E18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Reading resources provided to students and families to encourage reading for pleasure.</w:t>
            </w:r>
          </w:p>
        </w:tc>
        <w:tc>
          <w:tcPr>
            <w:tcW w:w="1292" w:type="dxa"/>
            <w:shd w:val="clear" w:color="auto" w:fill="auto"/>
          </w:tcPr>
          <w:p w:rsidR="00E10E18" w:rsidRPr="00D808E1" w:rsidRDefault="00E10E18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£1,000</w:t>
            </w:r>
          </w:p>
        </w:tc>
        <w:tc>
          <w:tcPr>
            <w:tcW w:w="3335" w:type="dxa"/>
            <w:shd w:val="clear" w:color="auto" w:fill="auto"/>
          </w:tcPr>
          <w:p w:rsidR="00E10E18" w:rsidRPr="00FF2555" w:rsidRDefault="00E10E18" w:rsidP="00543097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>Year 7 students provided with personal reading material to be used at home and in school.</w:t>
            </w:r>
          </w:p>
        </w:tc>
        <w:tc>
          <w:tcPr>
            <w:tcW w:w="850" w:type="dxa"/>
            <w:shd w:val="clear" w:color="auto" w:fill="FFC000"/>
          </w:tcPr>
          <w:p w:rsidR="00E10E18" w:rsidRDefault="00E10E18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0010AC" w:rsidTr="00FF2555">
        <w:tc>
          <w:tcPr>
            <w:tcW w:w="1790" w:type="dxa"/>
            <w:vMerge w:val="restart"/>
            <w:shd w:val="clear" w:color="auto" w:fill="auto"/>
            <w:vAlign w:val="center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</w:rPr>
            </w:pPr>
            <w:r w:rsidRPr="009E1964">
              <w:rPr>
                <w:rFonts w:asciiTheme="majorHAnsi" w:hAnsiTheme="majorHAnsi" w:cstheme="majorHAnsi"/>
              </w:rPr>
              <w:t>Numeracy Intervention</w:t>
            </w:r>
          </w:p>
        </w:tc>
        <w:tc>
          <w:tcPr>
            <w:tcW w:w="3189" w:type="dxa"/>
            <w:shd w:val="clear" w:color="auto" w:fill="auto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KS2 student maths scores and question level analysis used to identify cohort for intervention and diagnose specific areas of need.   </w:t>
            </w:r>
          </w:p>
        </w:tc>
        <w:tc>
          <w:tcPr>
            <w:tcW w:w="1292" w:type="dxa"/>
            <w:shd w:val="clear" w:color="auto" w:fill="auto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£2</w:t>
            </w:r>
            <w:r w:rsidRPr="00D808E1">
              <w:rPr>
                <w:rFonts w:asciiTheme="majorHAnsi" w:hAnsiTheme="majorHAnsi" w:cstheme="majorHAnsi"/>
              </w:rPr>
              <w:t>,000</w:t>
            </w:r>
          </w:p>
        </w:tc>
        <w:tc>
          <w:tcPr>
            <w:tcW w:w="3335" w:type="dxa"/>
            <w:shd w:val="clear" w:color="auto" w:fill="auto"/>
          </w:tcPr>
          <w:p w:rsidR="000010AC" w:rsidRPr="00FF2555" w:rsidRDefault="00FF2555" w:rsidP="000010AC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>67% of students at least meeting the expected standard in maths by the end of Year 7 with 9% showing mastery of the subject.</w:t>
            </w:r>
          </w:p>
        </w:tc>
        <w:tc>
          <w:tcPr>
            <w:tcW w:w="850" w:type="dxa"/>
            <w:shd w:val="clear" w:color="auto" w:fill="FFC000"/>
          </w:tcPr>
          <w:p w:rsidR="000010AC" w:rsidRDefault="000010AC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FF2555" w:rsidTr="00FF2555">
        <w:tc>
          <w:tcPr>
            <w:tcW w:w="1790" w:type="dxa"/>
            <w:vMerge/>
            <w:shd w:val="clear" w:color="auto" w:fill="auto"/>
          </w:tcPr>
          <w:p w:rsidR="00FF2555" w:rsidRPr="009E1964" w:rsidRDefault="00FF2555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FF2555" w:rsidRPr="00657A96" w:rsidRDefault="00FF2555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Numeracy resources e.g. board games, provided to students and families to encourage use of numeracy outside school.</w:t>
            </w:r>
          </w:p>
        </w:tc>
        <w:tc>
          <w:tcPr>
            <w:tcW w:w="1292" w:type="dxa"/>
            <w:shd w:val="clear" w:color="auto" w:fill="auto"/>
          </w:tcPr>
          <w:p w:rsidR="00FF2555" w:rsidRPr="00D808E1" w:rsidRDefault="00FF2555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£500</w:t>
            </w:r>
          </w:p>
        </w:tc>
        <w:tc>
          <w:tcPr>
            <w:tcW w:w="3335" w:type="dxa"/>
            <w:shd w:val="clear" w:color="auto" w:fill="auto"/>
          </w:tcPr>
          <w:p w:rsidR="00FF2555" w:rsidRPr="00FF2555" w:rsidRDefault="00FF2555" w:rsidP="001065AF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>Raised profile of numeracy within the school. More students engaged in numeracy activities.</w:t>
            </w:r>
          </w:p>
          <w:p w:rsidR="00FF2555" w:rsidRPr="00FF2555" w:rsidRDefault="00FF2555" w:rsidP="001065A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shd w:val="clear" w:color="auto" w:fill="FFC000"/>
          </w:tcPr>
          <w:p w:rsidR="00FF2555" w:rsidRDefault="00FF2555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0010AC" w:rsidRPr="00D808E1" w:rsidTr="00FF2555">
        <w:tc>
          <w:tcPr>
            <w:tcW w:w="1790" w:type="dxa"/>
            <w:vMerge/>
            <w:shd w:val="clear" w:color="auto" w:fill="auto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Numeracy rewards for form time quizzes. </w:t>
            </w:r>
          </w:p>
        </w:tc>
        <w:tc>
          <w:tcPr>
            <w:tcW w:w="1292" w:type="dxa"/>
            <w:shd w:val="clear" w:color="auto" w:fill="auto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</w:t>
            </w:r>
            <w:r w:rsidRPr="00D808E1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3335" w:type="dxa"/>
            <w:shd w:val="clear" w:color="auto" w:fill="auto"/>
          </w:tcPr>
          <w:p w:rsidR="000010AC" w:rsidRPr="00FF2555" w:rsidRDefault="00FF2555" w:rsidP="000010AC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>Students actively engaged in numeracy activities. ‘</w:t>
            </w:r>
            <w:proofErr w:type="spellStart"/>
            <w:r w:rsidRPr="00FF2555">
              <w:rPr>
                <w:rFonts w:asciiTheme="majorHAnsi" w:hAnsiTheme="majorHAnsi" w:cstheme="majorHAnsi"/>
              </w:rPr>
              <w:t>Pi’day</w:t>
            </w:r>
            <w:proofErr w:type="spellEnd"/>
            <w:r w:rsidRPr="00FF2555">
              <w:rPr>
                <w:rFonts w:asciiTheme="majorHAnsi" w:hAnsiTheme="majorHAnsi" w:cstheme="majorHAnsi"/>
              </w:rPr>
              <w:t xml:space="preserve"> introduced with fun, maths based activities.</w:t>
            </w:r>
            <w:r w:rsidR="000010AC" w:rsidRPr="00FF255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33CC33"/>
          </w:tcPr>
          <w:p w:rsidR="000010AC" w:rsidRDefault="000010AC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0010AC" w:rsidTr="00FF2555">
        <w:tc>
          <w:tcPr>
            <w:tcW w:w="1790" w:type="dxa"/>
            <w:vMerge/>
            <w:shd w:val="clear" w:color="auto" w:fill="auto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Resources purchased to introduce Singapore l</w:t>
            </w:r>
            <w:r w:rsidRPr="0038152A">
              <w:rPr>
                <w:rFonts w:asciiTheme="majorHAnsi" w:hAnsiTheme="majorHAnsi" w:cstheme="majorHAnsi"/>
              </w:rPr>
              <w:t>earning methods</w:t>
            </w:r>
            <w:r>
              <w:rPr>
                <w:rFonts w:asciiTheme="majorHAnsi" w:hAnsiTheme="majorHAnsi" w:cstheme="majorHAnsi"/>
              </w:rPr>
              <w:t xml:space="preserve"> and develop mastery learning</w:t>
            </w:r>
          </w:p>
        </w:tc>
        <w:tc>
          <w:tcPr>
            <w:tcW w:w="1292" w:type="dxa"/>
            <w:shd w:val="clear" w:color="auto" w:fill="auto"/>
          </w:tcPr>
          <w:p w:rsidR="000010AC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£500</w:t>
            </w:r>
          </w:p>
        </w:tc>
        <w:tc>
          <w:tcPr>
            <w:tcW w:w="3335" w:type="dxa"/>
            <w:shd w:val="clear" w:color="auto" w:fill="auto"/>
          </w:tcPr>
          <w:p w:rsidR="000010AC" w:rsidRDefault="000010AC" w:rsidP="000010AC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 xml:space="preserve">Year 7 scheme of learning adapted following analysis of KS2 question level data. </w:t>
            </w:r>
          </w:p>
          <w:p w:rsidR="00FF2555" w:rsidRDefault="00FF2555" w:rsidP="000010AC">
            <w:pPr>
              <w:rPr>
                <w:rFonts w:asciiTheme="majorHAnsi" w:hAnsiTheme="majorHAnsi" w:cstheme="majorHAnsi"/>
              </w:rPr>
            </w:pPr>
          </w:p>
          <w:p w:rsidR="00FF2555" w:rsidRPr="00FF2555" w:rsidRDefault="00FF2555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  <w:shd w:val="clear" w:color="auto" w:fill="FFC000"/>
          </w:tcPr>
          <w:p w:rsidR="000010AC" w:rsidRDefault="000010AC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0010AC" w:rsidRPr="00D808E1" w:rsidTr="00FF2555">
        <w:tc>
          <w:tcPr>
            <w:tcW w:w="1790" w:type="dxa"/>
            <w:vMerge/>
            <w:shd w:val="clear" w:color="auto" w:fill="auto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  <w:shd w:val="clear" w:color="auto" w:fill="auto"/>
          </w:tcPr>
          <w:p w:rsidR="000010AC" w:rsidRPr="0038152A" w:rsidRDefault="000010AC" w:rsidP="000010AC">
            <w:pPr>
              <w:rPr>
                <w:rFonts w:asciiTheme="majorHAnsi" w:hAnsiTheme="majorHAnsi" w:cstheme="majorHAnsi"/>
              </w:rPr>
            </w:pPr>
            <w:r w:rsidRPr="0038152A">
              <w:rPr>
                <w:rFonts w:asciiTheme="majorHAnsi" w:hAnsiTheme="majorHAnsi" w:cstheme="majorHAnsi"/>
              </w:rPr>
              <w:t>'Off timetable' Maths focused days for KS3 pupils and a</w:t>
            </w:r>
          </w:p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proofErr w:type="gramStart"/>
            <w:r w:rsidRPr="0038152A">
              <w:rPr>
                <w:rFonts w:asciiTheme="majorHAnsi" w:hAnsiTheme="majorHAnsi" w:cstheme="majorHAnsi"/>
              </w:rPr>
              <w:t>numeracy</w:t>
            </w:r>
            <w:proofErr w:type="gramEnd"/>
            <w:r w:rsidRPr="0038152A">
              <w:rPr>
                <w:rFonts w:asciiTheme="majorHAnsi" w:hAnsiTheme="majorHAnsi" w:cstheme="majorHAnsi"/>
              </w:rPr>
              <w:t xml:space="preserve"> fortnight with </w:t>
            </w:r>
            <w:r>
              <w:rPr>
                <w:rFonts w:asciiTheme="majorHAnsi" w:hAnsiTheme="majorHAnsi" w:cstheme="majorHAnsi"/>
              </w:rPr>
              <w:t xml:space="preserve">participation from all subjects </w:t>
            </w:r>
            <w:r w:rsidRPr="0038152A">
              <w:rPr>
                <w:rFonts w:asciiTheme="majorHAnsi" w:hAnsiTheme="majorHAnsi" w:cstheme="majorHAnsi"/>
              </w:rPr>
              <w:t>focusing on agreed cross-curricular numeracy themes.</w:t>
            </w:r>
          </w:p>
        </w:tc>
        <w:tc>
          <w:tcPr>
            <w:tcW w:w="1292" w:type="dxa"/>
            <w:shd w:val="clear" w:color="auto" w:fill="auto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</w:t>
            </w:r>
            <w:r w:rsidRPr="0038152A">
              <w:rPr>
                <w:rFonts w:asciiTheme="majorHAnsi" w:hAnsiTheme="majorHAnsi" w:cstheme="majorHAnsi"/>
              </w:rPr>
              <w:t xml:space="preserve">00 </w:t>
            </w:r>
          </w:p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35" w:type="dxa"/>
            <w:shd w:val="clear" w:color="auto" w:fill="auto"/>
          </w:tcPr>
          <w:p w:rsidR="000010AC" w:rsidRPr="00FF2555" w:rsidRDefault="000010AC" w:rsidP="000010AC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 xml:space="preserve">Increased progress in maths related to topics identified in KS2 question level analysis. </w:t>
            </w:r>
          </w:p>
          <w:p w:rsidR="00FF2555" w:rsidRPr="00FF2555" w:rsidRDefault="00FF2555" w:rsidP="000010AC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>Maths challenge for primary partner schools also introduced.</w:t>
            </w:r>
          </w:p>
        </w:tc>
        <w:tc>
          <w:tcPr>
            <w:tcW w:w="850" w:type="dxa"/>
            <w:shd w:val="clear" w:color="auto" w:fill="33CC33"/>
          </w:tcPr>
          <w:p w:rsidR="000010AC" w:rsidRDefault="000010AC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0010AC" w:rsidTr="00FF2555">
        <w:tc>
          <w:tcPr>
            <w:tcW w:w="1790" w:type="dxa"/>
            <w:shd w:val="clear" w:color="auto" w:fill="auto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Intensive Literacy &amp; Numeracy Intervention </w:t>
            </w:r>
          </w:p>
        </w:tc>
        <w:tc>
          <w:tcPr>
            <w:tcW w:w="3189" w:type="dxa"/>
            <w:shd w:val="clear" w:color="auto" w:fill="auto"/>
          </w:tcPr>
          <w:p w:rsidR="000010AC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Students identified with reading age between 7.5 and 9.0 provided with daily support across Autumn term with expe</w:t>
            </w:r>
            <w:r w:rsidR="00FF2555">
              <w:rPr>
                <w:rFonts w:asciiTheme="majorHAnsi" w:hAnsiTheme="majorHAnsi" w:cstheme="majorHAnsi"/>
              </w:rPr>
              <w:t>rienced primary practitioner (22</w:t>
            </w:r>
            <w:r>
              <w:rPr>
                <w:rFonts w:asciiTheme="majorHAnsi" w:hAnsiTheme="majorHAnsi" w:cstheme="majorHAnsi"/>
              </w:rPr>
              <w:t xml:space="preserve"> students in total).</w:t>
            </w:r>
          </w:p>
        </w:tc>
        <w:tc>
          <w:tcPr>
            <w:tcW w:w="1292" w:type="dxa"/>
            <w:shd w:val="clear" w:color="auto" w:fill="auto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</w:t>
            </w:r>
            <w:r w:rsidRPr="00D808E1">
              <w:rPr>
                <w:rFonts w:asciiTheme="majorHAnsi" w:hAnsiTheme="majorHAnsi" w:cstheme="majorHAnsi"/>
              </w:rPr>
              <w:t>,000</w:t>
            </w:r>
          </w:p>
        </w:tc>
        <w:tc>
          <w:tcPr>
            <w:tcW w:w="3335" w:type="dxa"/>
            <w:shd w:val="clear" w:color="auto" w:fill="auto"/>
          </w:tcPr>
          <w:p w:rsidR="000010AC" w:rsidRPr="00FF2555" w:rsidRDefault="00FF2555" w:rsidP="000010AC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>Average improvement in reading age of +14 months across Autumn term with 86% meeting the success criteria of +6 months or more.</w:t>
            </w:r>
            <w:r w:rsidR="000010AC" w:rsidRPr="00FF2555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850" w:type="dxa"/>
            <w:shd w:val="clear" w:color="auto" w:fill="33CC33"/>
          </w:tcPr>
          <w:p w:rsidR="000010AC" w:rsidRDefault="000010AC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0010AC" w:rsidRPr="00D808E1" w:rsidTr="00FF2555">
        <w:tc>
          <w:tcPr>
            <w:tcW w:w="1790" w:type="dxa"/>
            <w:shd w:val="clear" w:color="auto" w:fill="auto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Transition Summer School</w:t>
            </w:r>
          </w:p>
        </w:tc>
        <w:tc>
          <w:tcPr>
            <w:tcW w:w="3189" w:type="dxa"/>
            <w:shd w:val="clear" w:color="auto" w:fill="auto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Year 6 students below expected standard in reading and maths targeted for intensive intervention prior to the start of Year 7. </w:t>
            </w:r>
          </w:p>
        </w:tc>
        <w:tc>
          <w:tcPr>
            <w:tcW w:w="1292" w:type="dxa"/>
            <w:shd w:val="clear" w:color="auto" w:fill="auto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£5,000</w:t>
            </w:r>
          </w:p>
        </w:tc>
        <w:tc>
          <w:tcPr>
            <w:tcW w:w="3335" w:type="dxa"/>
            <w:shd w:val="clear" w:color="auto" w:fill="auto"/>
          </w:tcPr>
          <w:p w:rsidR="000010AC" w:rsidRPr="00FF2555" w:rsidRDefault="00FF2555" w:rsidP="000010AC">
            <w:pPr>
              <w:rPr>
                <w:rFonts w:asciiTheme="majorHAnsi" w:hAnsiTheme="majorHAnsi" w:cstheme="majorHAnsi"/>
              </w:rPr>
            </w:pPr>
            <w:r w:rsidRPr="00FF2555">
              <w:rPr>
                <w:rFonts w:asciiTheme="majorHAnsi" w:hAnsiTheme="majorHAnsi" w:cstheme="majorHAnsi"/>
              </w:rPr>
              <w:t>High level of attendance from targeted students. Primary partner schools nominated students who would benefit the most.</w:t>
            </w:r>
          </w:p>
        </w:tc>
        <w:tc>
          <w:tcPr>
            <w:tcW w:w="850" w:type="dxa"/>
            <w:shd w:val="clear" w:color="auto" w:fill="33CC33"/>
          </w:tcPr>
          <w:p w:rsidR="000010AC" w:rsidRDefault="000010AC" w:rsidP="000010AC">
            <w:pPr>
              <w:rPr>
                <w:rFonts w:asciiTheme="majorHAnsi" w:hAnsiTheme="majorHAnsi" w:cstheme="majorHAnsi"/>
              </w:rPr>
            </w:pPr>
          </w:p>
        </w:tc>
      </w:tr>
      <w:tr w:rsidR="000010AC" w:rsidRPr="00D808E1" w:rsidTr="000010AC">
        <w:tc>
          <w:tcPr>
            <w:tcW w:w="1790" w:type="dxa"/>
            <w:shd w:val="clear" w:color="auto" w:fill="auto"/>
          </w:tcPr>
          <w:p w:rsidR="000010AC" w:rsidRPr="009E1964" w:rsidRDefault="000010AC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89" w:type="dxa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92" w:type="dxa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  <w:r w:rsidRPr="00E665AC">
              <w:rPr>
                <w:rFonts w:asciiTheme="majorHAnsi" w:hAnsiTheme="majorHAnsi" w:cstheme="majorHAnsi"/>
              </w:rPr>
              <w:t>£22,500</w:t>
            </w:r>
          </w:p>
        </w:tc>
        <w:tc>
          <w:tcPr>
            <w:tcW w:w="3335" w:type="dxa"/>
          </w:tcPr>
          <w:p w:rsidR="000010AC" w:rsidRPr="00FF2555" w:rsidRDefault="000010AC" w:rsidP="000010A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50" w:type="dxa"/>
          </w:tcPr>
          <w:p w:rsidR="000010AC" w:rsidRPr="00D808E1" w:rsidRDefault="000010AC" w:rsidP="000010AC">
            <w:pPr>
              <w:rPr>
                <w:rFonts w:asciiTheme="majorHAnsi" w:hAnsiTheme="majorHAnsi" w:cstheme="majorHAnsi"/>
              </w:rPr>
            </w:pPr>
          </w:p>
        </w:tc>
      </w:tr>
    </w:tbl>
    <w:p w:rsidR="000010AC" w:rsidRDefault="000010AC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0010AC" w:rsidRPr="005E20C3" w:rsidRDefault="000010AC" w:rsidP="000010AC">
      <w:pPr>
        <w:spacing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5E20C3">
        <w:rPr>
          <w:rFonts w:ascii="Calibri" w:eastAsia="Calibri" w:hAnsi="Calibri" w:cs="Times New Roman"/>
          <w:b/>
          <w:sz w:val="22"/>
          <w:szCs w:val="22"/>
        </w:rPr>
        <w:t>Impact evaluation: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394"/>
      </w:tblGrid>
      <w:tr w:rsidR="000010AC" w:rsidTr="00FF2555">
        <w:tc>
          <w:tcPr>
            <w:tcW w:w="959" w:type="dxa"/>
            <w:shd w:val="clear" w:color="auto" w:fill="33CC33"/>
          </w:tcPr>
          <w:p w:rsidR="000010AC" w:rsidRDefault="000010AC" w:rsidP="000010AC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4394" w:type="dxa"/>
          </w:tcPr>
          <w:p w:rsidR="000010AC" w:rsidRDefault="000010AC" w:rsidP="000010AC">
            <w:pPr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Strategy was successful and will be used again</w:t>
            </w:r>
          </w:p>
        </w:tc>
      </w:tr>
      <w:tr w:rsidR="000010AC" w:rsidTr="000010AC">
        <w:tc>
          <w:tcPr>
            <w:tcW w:w="959" w:type="dxa"/>
            <w:shd w:val="clear" w:color="auto" w:fill="FFC000"/>
          </w:tcPr>
          <w:p w:rsidR="000010AC" w:rsidRDefault="000010AC" w:rsidP="000010AC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4394" w:type="dxa"/>
          </w:tcPr>
          <w:p w:rsidR="000010AC" w:rsidRDefault="000010AC" w:rsidP="000010AC">
            <w:pPr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Strategy will be used again with refinements </w:t>
            </w:r>
          </w:p>
        </w:tc>
      </w:tr>
      <w:tr w:rsidR="000010AC" w:rsidTr="000010AC">
        <w:tc>
          <w:tcPr>
            <w:tcW w:w="959" w:type="dxa"/>
            <w:shd w:val="clear" w:color="auto" w:fill="C00000"/>
          </w:tcPr>
          <w:p w:rsidR="000010AC" w:rsidRDefault="000010AC" w:rsidP="000010AC">
            <w:pPr>
              <w:spacing w:line="276" w:lineRule="auto"/>
              <w:rPr>
                <w:rFonts w:ascii="Calibri" w:hAnsi="Calibri" w:cs="Times New Roman"/>
              </w:rPr>
            </w:pPr>
          </w:p>
        </w:tc>
        <w:tc>
          <w:tcPr>
            <w:tcW w:w="4394" w:type="dxa"/>
          </w:tcPr>
          <w:p w:rsidR="000010AC" w:rsidRDefault="000010AC" w:rsidP="000010AC">
            <w:pPr>
              <w:spacing w:line="276" w:lineRule="auto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Strategy will not be used again</w:t>
            </w:r>
          </w:p>
        </w:tc>
      </w:tr>
    </w:tbl>
    <w:p w:rsidR="000010AC" w:rsidRPr="00930BC4" w:rsidRDefault="000010AC">
      <w:pPr>
        <w:spacing w:after="200" w:line="276" w:lineRule="auto"/>
        <w:rPr>
          <w:rFonts w:ascii="Calibri" w:eastAsia="Calibri" w:hAnsi="Calibri" w:cs="Times New Roman"/>
          <w:b/>
          <w:sz w:val="32"/>
          <w:szCs w:val="32"/>
        </w:rPr>
        <w:sectPr w:rsidR="000010AC" w:rsidRPr="00930BC4" w:rsidSect="003B6371">
          <w:pgSz w:w="11900" w:h="16840"/>
          <w:pgMar w:top="1440" w:right="1127" w:bottom="1440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5C3A4D" w:rsidRDefault="005C3A4D" w:rsidP="002D6BCE">
      <w:pPr>
        <w:spacing w:after="120"/>
        <w:rPr>
          <w:rFonts w:asciiTheme="majorHAnsi" w:eastAsia="Times New Roman" w:hAnsiTheme="majorHAnsi" w:cstheme="majorHAnsi"/>
          <w:color w:val="333333"/>
          <w:sz w:val="22"/>
          <w:szCs w:val="22"/>
          <w:lang w:eastAsia="en-GB"/>
        </w:rPr>
      </w:pPr>
    </w:p>
    <w:sectPr w:rsidR="005C3A4D" w:rsidSect="00930BC4">
      <w:pgSz w:w="11900" w:h="16840"/>
      <w:pgMar w:top="1440" w:right="127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C2" w:rsidRDefault="000D26C2">
      <w:r>
        <w:separator/>
      </w:r>
    </w:p>
  </w:endnote>
  <w:endnote w:type="continuationSeparator" w:id="0">
    <w:p w:rsidR="000D26C2" w:rsidRDefault="000D2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C2" w:rsidRDefault="000D26C2">
      <w:r>
        <w:separator/>
      </w:r>
    </w:p>
  </w:footnote>
  <w:footnote w:type="continuationSeparator" w:id="0">
    <w:p w:rsidR="000D26C2" w:rsidRDefault="000D2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46F"/>
    <w:multiLevelType w:val="hybridMultilevel"/>
    <w:tmpl w:val="2AAC7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16ED0"/>
    <w:multiLevelType w:val="hybridMultilevel"/>
    <w:tmpl w:val="3C12D6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64614"/>
    <w:multiLevelType w:val="hybridMultilevel"/>
    <w:tmpl w:val="36280E9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5C54B7A"/>
    <w:multiLevelType w:val="hybridMultilevel"/>
    <w:tmpl w:val="86BEB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1A7A65"/>
    <w:multiLevelType w:val="hybridMultilevel"/>
    <w:tmpl w:val="AD94A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9517453"/>
    <w:multiLevelType w:val="hybridMultilevel"/>
    <w:tmpl w:val="7F70520A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1A61314"/>
    <w:multiLevelType w:val="hybridMultilevel"/>
    <w:tmpl w:val="95A8BDD0"/>
    <w:lvl w:ilvl="0" w:tplc="04326AB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4D"/>
    <w:rsid w:val="000010AC"/>
    <w:rsid w:val="000477D0"/>
    <w:rsid w:val="000526F7"/>
    <w:rsid w:val="000763B3"/>
    <w:rsid w:val="00087CB5"/>
    <w:rsid w:val="000D26C2"/>
    <w:rsid w:val="000F38E8"/>
    <w:rsid w:val="00173329"/>
    <w:rsid w:val="00270444"/>
    <w:rsid w:val="002D6BCE"/>
    <w:rsid w:val="00347F63"/>
    <w:rsid w:val="0038152A"/>
    <w:rsid w:val="003B6371"/>
    <w:rsid w:val="00451AC9"/>
    <w:rsid w:val="004A549D"/>
    <w:rsid w:val="004B4E65"/>
    <w:rsid w:val="004D10F1"/>
    <w:rsid w:val="00543097"/>
    <w:rsid w:val="005949A7"/>
    <w:rsid w:val="005C3A4D"/>
    <w:rsid w:val="005E20C3"/>
    <w:rsid w:val="00614115"/>
    <w:rsid w:val="00657A96"/>
    <w:rsid w:val="007F11B2"/>
    <w:rsid w:val="00861C5A"/>
    <w:rsid w:val="0087457F"/>
    <w:rsid w:val="00886241"/>
    <w:rsid w:val="0090520D"/>
    <w:rsid w:val="00921F9E"/>
    <w:rsid w:val="00930BC4"/>
    <w:rsid w:val="009B0202"/>
    <w:rsid w:val="009E1964"/>
    <w:rsid w:val="009F365C"/>
    <w:rsid w:val="00A542C2"/>
    <w:rsid w:val="00A5629D"/>
    <w:rsid w:val="00AA41AB"/>
    <w:rsid w:val="00B30A96"/>
    <w:rsid w:val="00B57218"/>
    <w:rsid w:val="00BE19BF"/>
    <w:rsid w:val="00BF049F"/>
    <w:rsid w:val="00C02045"/>
    <w:rsid w:val="00C94861"/>
    <w:rsid w:val="00D01A0C"/>
    <w:rsid w:val="00D22C13"/>
    <w:rsid w:val="00D3165B"/>
    <w:rsid w:val="00D57AC7"/>
    <w:rsid w:val="00D6542E"/>
    <w:rsid w:val="00D65C3F"/>
    <w:rsid w:val="00D808E1"/>
    <w:rsid w:val="00DB25BA"/>
    <w:rsid w:val="00E10E18"/>
    <w:rsid w:val="00E15791"/>
    <w:rsid w:val="00E665AC"/>
    <w:rsid w:val="00E87500"/>
    <w:rsid w:val="00EC0C9F"/>
    <w:rsid w:val="00F018C6"/>
    <w:rsid w:val="00F31EF3"/>
    <w:rsid w:val="00F404C0"/>
    <w:rsid w:val="00F655F5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</w:style>
  <w:style w:type="character" w:customStyle="1" w:styleId="FootnoteTextChar">
    <w:name w:val="Footnote Text Char"/>
    <w:basedOn w:val="DefaultParagraphFont"/>
    <w:link w:val="FootnoteText"/>
    <w:uiPriority w:val="99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</w:style>
  <w:style w:type="character" w:customStyle="1" w:styleId="FootnoteTextChar">
    <w:name w:val="Footnote Text Char"/>
    <w:basedOn w:val="DefaultParagraphFont"/>
    <w:link w:val="FootnoteText"/>
    <w:uiPriority w:val="99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Pr>
      <w:rFonts w:eastAsia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4312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  <w:div w:id="10256435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12" w:space="15" w:color="DBD7CF"/>
            <w:bottom w:val="none" w:sz="0" w:space="0" w:color="auto"/>
            <w:right w:val="none" w:sz="0" w:space="0" w:color="auto"/>
          </w:divBdr>
        </w:div>
      </w:divsChild>
    </w:div>
    <w:div w:id="17392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BC3D-7E3D-43E4-BB35-C81D3E41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5702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Andrew Bridson</cp:lastModifiedBy>
  <cp:revision>1</cp:revision>
  <cp:lastPrinted>2014-11-25T13:33:00Z</cp:lastPrinted>
  <dcterms:created xsi:type="dcterms:W3CDTF">2017-09-14T17:21:00Z</dcterms:created>
  <dcterms:modified xsi:type="dcterms:W3CDTF">2018-10-11T14:54:00Z</dcterms:modified>
</cp:coreProperties>
</file>